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13CFB" w14:textId="7450CAA2" w:rsidR="0012691A" w:rsidRPr="00623CE8" w:rsidRDefault="00274885" w:rsidP="00274885">
      <w:pPr>
        <w:jc w:val="center"/>
        <w:rPr>
          <w:rFonts w:cstheme="minorHAnsi"/>
        </w:rPr>
      </w:pPr>
      <w:r w:rsidRPr="00623CE8">
        <w:rPr>
          <w:rFonts w:cstheme="minorHAnsi"/>
          <w:noProof/>
          <w:lang w:eastAsia="tr-TR"/>
        </w:rPr>
        <w:drawing>
          <wp:inline distT="0" distB="0" distL="0" distR="0" wp14:anchorId="2292CA87" wp14:editId="348CB061">
            <wp:extent cx="3140958" cy="1903353"/>
            <wp:effectExtent l="0" t="0" r="2540" b="190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65015" cy="1917931"/>
                    </a:xfrm>
                    <a:prstGeom prst="rect">
                      <a:avLst/>
                    </a:prstGeom>
                    <a:noFill/>
                    <a:ln>
                      <a:noFill/>
                    </a:ln>
                  </pic:spPr>
                </pic:pic>
              </a:graphicData>
            </a:graphic>
          </wp:inline>
        </w:drawing>
      </w:r>
    </w:p>
    <w:p w14:paraId="4E1E8A85" w14:textId="04B4FBC4" w:rsidR="00274885" w:rsidRPr="00623CE8" w:rsidRDefault="00274885">
      <w:pPr>
        <w:rPr>
          <w:rFonts w:cstheme="minorHAnsi"/>
        </w:rPr>
      </w:pPr>
    </w:p>
    <w:p w14:paraId="0C574C3C" w14:textId="77777777" w:rsidR="00100424" w:rsidRPr="00623CE8" w:rsidRDefault="00100424" w:rsidP="00274885">
      <w:pPr>
        <w:jc w:val="center"/>
        <w:rPr>
          <w:rFonts w:cstheme="minorHAnsi"/>
          <w:b/>
          <w:bCs/>
        </w:rPr>
      </w:pPr>
    </w:p>
    <w:p w14:paraId="03131A87" w14:textId="77777777" w:rsidR="00100424" w:rsidRPr="00623CE8" w:rsidRDefault="00100424" w:rsidP="00274885">
      <w:pPr>
        <w:jc w:val="center"/>
        <w:rPr>
          <w:rFonts w:cstheme="minorHAnsi"/>
          <w:b/>
          <w:bCs/>
        </w:rPr>
      </w:pPr>
    </w:p>
    <w:p w14:paraId="41F05343" w14:textId="77777777" w:rsidR="00100424" w:rsidRPr="00623CE8" w:rsidRDefault="00100424" w:rsidP="00274885">
      <w:pPr>
        <w:jc w:val="center"/>
        <w:rPr>
          <w:rFonts w:cstheme="minorHAnsi"/>
          <w:b/>
          <w:bCs/>
        </w:rPr>
      </w:pPr>
    </w:p>
    <w:p w14:paraId="75DED048" w14:textId="77777777" w:rsidR="00100424" w:rsidRPr="00623CE8" w:rsidRDefault="00100424" w:rsidP="00274885">
      <w:pPr>
        <w:jc w:val="center"/>
        <w:rPr>
          <w:rFonts w:cstheme="minorHAnsi"/>
          <w:b/>
          <w:bCs/>
        </w:rPr>
      </w:pPr>
    </w:p>
    <w:p w14:paraId="32653966" w14:textId="77777777" w:rsidR="00100424" w:rsidRPr="00623CE8" w:rsidRDefault="00100424" w:rsidP="00274885">
      <w:pPr>
        <w:jc w:val="center"/>
        <w:rPr>
          <w:rFonts w:cstheme="minorHAnsi"/>
          <w:b/>
          <w:bCs/>
        </w:rPr>
      </w:pPr>
    </w:p>
    <w:p w14:paraId="747E03CF" w14:textId="77777777" w:rsidR="00100424" w:rsidRPr="00623CE8" w:rsidRDefault="00100424" w:rsidP="00274885">
      <w:pPr>
        <w:jc w:val="center"/>
        <w:rPr>
          <w:rFonts w:cstheme="minorHAnsi"/>
          <w:b/>
          <w:bCs/>
        </w:rPr>
      </w:pPr>
    </w:p>
    <w:p w14:paraId="3E97F1D2" w14:textId="77777777" w:rsidR="00100424" w:rsidRPr="00623CE8" w:rsidRDefault="00100424" w:rsidP="00274885">
      <w:pPr>
        <w:jc w:val="center"/>
        <w:rPr>
          <w:rFonts w:cstheme="minorHAnsi"/>
          <w:b/>
          <w:bCs/>
          <w:sz w:val="52"/>
          <w:szCs w:val="52"/>
        </w:rPr>
      </w:pPr>
    </w:p>
    <w:p w14:paraId="4EF8BCDC" w14:textId="216519B5" w:rsidR="000160FB" w:rsidRPr="00623CE8" w:rsidRDefault="00274885" w:rsidP="00274885">
      <w:pPr>
        <w:jc w:val="center"/>
        <w:rPr>
          <w:rFonts w:cstheme="minorHAnsi"/>
          <w:b/>
          <w:bCs/>
          <w:sz w:val="52"/>
          <w:szCs w:val="52"/>
        </w:rPr>
      </w:pPr>
      <w:r w:rsidRPr="00623CE8">
        <w:rPr>
          <w:rFonts w:cstheme="minorHAnsi"/>
          <w:b/>
          <w:bCs/>
          <w:sz w:val="52"/>
          <w:szCs w:val="52"/>
        </w:rPr>
        <w:t xml:space="preserve">ETİ BAKIR A.Ş. </w:t>
      </w:r>
    </w:p>
    <w:p w14:paraId="365CD021" w14:textId="77777777" w:rsidR="00A84F2C" w:rsidRPr="00623CE8" w:rsidRDefault="00100424" w:rsidP="00274885">
      <w:pPr>
        <w:jc w:val="center"/>
        <w:rPr>
          <w:rFonts w:cstheme="minorHAnsi"/>
          <w:b/>
          <w:bCs/>
          <w:sz w:val="52"/>
          <w:szCs w:val="52"/>
        </w:rPr>
      </w:pPr>
      <w:r w:rsidRPr="00623CE8">
        <w:rPr>
          <w:rFonts w:cstheme="minorHAnsi"/>
          <w:b/>
          <w:bCs/>
          <w:sz w:val="52"/>
          <w:szCs w:val="52"/>
        </w:rPr>
        <w:t xml:space="preserve">SAMSUN </w:t>
      </w:r>
      <w:r w:rsidR="000160FB" w:rsidRPr="00623CE8">
        <w:rPr>
          <w:rFonts w:cstheme="minorHAnsi"/>
          <w:b/>
          <w:bCs/>
          <w:sz w:val="52"/>
          <w:szCs w:val="52"/>
        </w:rPr>
        <w:t>LİMAN</w:t>
      </w:r>
      <w:r w:rsidRPr="00623CE8">
        <w:rPr>
          <w:rFonts w:cstheme="minorHAnsi"/>
          <w:b/>
          <w:bCs/>
          <w:sz w:val="52"/>
          <w:szCs w:val="52"/>
        </w:rPr>
        <w:t>I</w:t>
      </w:r>
      <w:r w:rsidR="000160FB" w:rsidRPr="00623CE8">
        <w:rPr>
          <w:rFonts w:cstheme="minorHAnsi"/>
          <w:b/>
          <w:bCs/>
          <w:sz w:val="52"/>
          <w:szCs w:val="52"/>
        </w:rPr>
        <w:t xml:space="preserve"> </w:t>
      </w:r>
    </w:p>
    <w:p w14:paraId="2E2B53D0" w14:textId="0CBFD50B" w:rsidR="00274885" w:rsidRPr="00623CE8" w:rsidRDefault="00274885" w:rsidP="00274885">
      <w:pPr>
        <w:jc w:val="center"/>
        <w:rPr>
          <w:rFonts w:cstheme="minorHAnsi"/>
          <w:b/>
          <w:bCs/>
          <w:sz w:val="52"/>
          <w:szCs w:val="52"/>
        </w:rPr>
      </w:pPr>
      <w:r w:rsidRPr="00623CE8">
        <w:rPr>
          <w:rFonts w:cstheme="minorHAnsi"/>
          <w:b/>
          <w:bCs/>
          <w:sz w:val="52"/>
          <w:szCs w:val="52"/>
        </w:rPr>
        <w:t>HİZMET KALEMLERİ VE TARİFE</w:t>
      </w:r>
      <w:r w:rsidR="003424A1" w:rsidRPr="00623CE8">
        <w:rPr>
          <w:rFonts w:cstheme="minorHAnsi"/>
          <w:b/>
          <w:bCs/>
          <w:sz w:val="52"/>
          <w:szCs w:val="52"/>
        </w:rPr>
        <w:t>S</w:t>
      </w:r>
      <w:r w:rsidRPr="00623CE8">
        <w:rPr>
          <w:rFonts w:cstheme="minorHAnsi"/>
          <w:b/>
          <w:bCs/>
          <w:sz w:val="52"/>
          <w:szCs w:val="52"/>
        </w:rPr>
        <w:t>İ</w:t>
      </w:r>
    </w:p>
    <w:p w14:paraId="187F4E7B" w14:textId="66F28B90" w:rsidR="00274885" w:rsidRPr="00623CE8" w:rsidRDefault="00274885" w:rsidP="00274885">
      <w:pPr>
        <w:jc w:val="center"/>
        <w:rPr>
          <w:rFonts w:cstheme="minorHAnsi"/>
          <w:b/>
          <w:bCs/>
        </w:rPr>
      </w:pPr>
    </w:p>
    <w:p w14:paraId="01E10D13" w14:textId="31BF4BC0" w:rsidR="00274885" w:rsidRPr="00623CE8" w:rsidRDefault="00274885" w:rsidP="00274885">
      <w:pPr>
        <w:jc w:val="center"/>
        <w:rPr>
          <w:rFonts w:cstheme="minorHAnsi"/>
          <w:b/>
          <w:bCs/>
        </w:rPr>
      </w:pPr>
    </w:p>
    <w:p w14:paraId="12C9C0EC" w14:textId="60FAE2BE" w:rsidR="00274885" w:rsidRPr="00623CE8" w:rsidRDefault="00274885" w:rsidP="00274885">
      <w:pPr>
        <w:jc w:val="center"/>
        <w:rPr>
          <w:rFonts w:cstheme="minorHAnsi"/>
          <w:b/>
          <w:bCs/>
        </w:rPr>
      </w:pPr>
    </w:p>
    <w:p w14:paraId="13D97808" w14:textId="18DE78B1" w:rsidR="00274885" w:rsidRPr="00623CE8" w:rsidRDefault="00274885" w:rsidP="00274885">
      <w:pPr>
        <w:jc w:val="center"/>
        <w:rPr>
          <w:rFonts w:cstheme="minorHAnsi"/>
          <w:b/>
          <w:bCs/>
        </w:rPr>
      </w:pPr>
    </w:p>
    <w:p w14:paraId="29C8D11B" w14:textId="76B492B1" w:rsidR="00274885" w:rsidRPr="00623CE8" w:rsidRDefault="00274885" w:rsidP="00274885">
      <w:pPr>
        <w:jc w:val="center"/>
        <w:rPr>
          <w:rFonts w:cstheme="minorHAnsi"/>
          <w:b/>
          <w:bCs/>
        </w:rPr>
      </w:pPr>
    </w:p>
    <w:p w14:paraId="126710EB" w14:textId="48C52D0A" w:rsidR="00274885" w:rsidRPr="00623CE8" w:rsidRDefault="00274885" w:rsidP="00274885">
      <w:pPr>
        <w:jc w:val="center"/>
        <w:rPr>
          <w:rFonts w:cstheme="minorHAnsi"/>
          <w:b/>
          <w:bCs/>
        </w:rPr>
      </w:pPr>
    </w:p>
    <w:p w14:paraId="4F5DBAF0" w14:textId="59D96F04" w:rsidR="00CD22DD" w:rsidRPr="00623CE8" w:rsidRDefault="00CD22DD" w:rsidP="00274885">
      <w:pPr>
        <w:jc w:val="center"/>
        <w:rPr>
          <w:rFonts w:cstheme="minorHAnsi"/>
          <w:b/>
          <w:bCs/>
        </w:rPr>
      </w:pPr>
    </w:p>
    <w:p w14:paraId="0584C087" w14:textId="50DAA6E0" w:rsidR="00CD22DD" w:rsidRPr="00623CE8" w:rsidRDefault="00CD22DD" w:rsidP="00274885">
      <w:pPr>
        <w:jc w:val="center"/>
        <w:rPr>
          <w:rFonts w:cstheme="minorHAnsi"/>
          <w:b/>
          <w:bCs/>
        </w:rPr>
      </w:pPr>
    </w:p>
    <w:p w14:paraId="43FDD1FC" w14:textId="77777777" w:rsidR="004E0A3A" w:rsidRPr="00623CE8" w:rsidRDefault="004E0A3A" w:rsidP="00CA15F3">
      <w:pPr>
        <w:pStyle w:val="ListeParagraf"/>
        <w:numPr>
          <w:ilvl w:val="0"/>
          <w:numId w:val="3"/>
        </w:numPr>
        <w:jc w:val="both"/>
        <w:rPr>
          <w:rFonts w:cstheme="minorHAnsi"/>
          <w:b/>
          <w:bCs/>
        </w:rPr>
        <w:sectPr w:rsidR="004E0A3A" w:rsidRPr="00623CE8" w:rsidSect="00D01E14">
          <w:headerReference w:type="default" r:id="rId8"/>
          <w:footerReference w:type="default" r:id="rId9"/>
          <w:pgSz w:w="11906" w:h="16838"/>
          <w:pgMar w:top="1417" w:right="1417" w:bottom="1417" w:left="1417" w:header="708" w:footer="708" w:gutter="0"/>
          <w:pgNumType w:start="1"/>
          <w:cols w:space="708"/>
          <w:docGrid w:linePitch="360"/>
        </w:sectPr>
      </w:pPr>
    </w:p>
    <w:p w14:paraId="333D9A08" w14:textId="05F010AC" w:rsidR="00274885" w:rsidRPr="00623CE8" w:rsidRDefault="00274885" w:rsidP="00EE2C07">
      <w:pPr>
        <w:pStyle w:val="ListeParagraf"/>
        <w:numPr>
          <w:ilvl w:val="0"/>
          <w:numId w:val="3"/>
        </w:numPr>
        <w:jc w:val="both"/>
        <w:rPr>
          <w:rFonts w:cstheme="minorHAnsi"/>
          <w:b/>
          <w:bCs/>
        </w:rPr>
      </w:pPr>
      <w:r w:rsidRPr="00623CE8">
        <w:rPr>
          <w:rFonts w:cstheme="minorHAnsi"/>
          <w:b/>
          <w:bCs/>
        </w:rPr>
        <w:lastRenderedPageBreak/>
        <w:t>Amaç</w:t>
      </w:r>
      <w:r w:rsidR="00100424" w:rsidRPr="00623CE8">
        <w:rPr>
          <w:rFonts w:cstheme="minorHAnsi"/>
          <w:b/>
          <w:bCs/>
        </w:rPr>
        <w:t xml:space="preserve"> ve Kapsam</w:t>
      </w:r>
    </w:p>
    <w:p w14:paraId="2FA4B6BF" w14:textId="658AC7EF" w:rsidR="000160FB" w:rsidRPr="00623CE8" w:rsidRDefault="000160FB" w:rsidP="00274885">
      <w:pPr>
        <w:jc w:val="both"/>
        <w:rPr>
          <w:rFonts w:cstheme="minorHAnsi"/>
        </w:rPr>
      </w:pPr>
      <w:r w:rsidRPr="00623CE8">
        <w:rPr>
          <w:rFonts w:cstheme="minorHAnsi"/>
        </w:rPr>
        <w:t xml:space="preserve">Bu “Liman Hizmet Kalemleri ve </w:t>
      </w:r>
      <w:proofErr w:type="spellStart"/>
      <w:r w:rsidRPr="00623CE8">
        <w:rPr>
          <w:rFonts w:cstheme="minorHAnsi"/>
        </w:rPr>
        <w:t>Tarife</w:t>
      </w:r>
      <w:r w:rsidR="00A84F2C" w:rsidRPr="00623CE8">
        <w:rPr>
          <w:rFonts w:cstheme="minorHAnsi"/>
        </w:rPr>
        <w:t>si</w:t>
      </w:r>
      <w:r w:rsidRPr="00623CE8">
        <w:rPr>
          <w:rFonts w:cstheme="minorHAnsi"/>
        </w:rPr>
        <w:t>”nin</w:t>
      </w:r>
      <w:proofErr w:type="spellEnd"/>
      <w:r w:rsidRPr="00623CE8">
        <w:rPr>
          <w:rFonts w:cstheme="minorHAnsi"/>
        </w:rPr>
        <w:t xml:space="preserve"> amacı, ETİ BAKIR A.Ş.</w:t>
      </w:r>
      <w:r w:rsidR="00100424" w:rsidRPr="00623CE8">
        <w:rPr>
          <w:rFonts w:cstheme="minorHAnsi"/>
        </w:rPr>
        <w:t xml:space="preserve"> Samsun </w:t>
      </w:r>
      <w:r w:rsidR="00875CAB">
        <w:rPr>
          <w:rFonts w:cstheme="minorHAnsi"/>
        </w:rPr>
        <w:t>L</w:t>
      </w:r>
      <w:r w:rsidRPr="00623CE8">
        <w:rPr>
          <w:rFonts w:cstheme="minorHAnsi"/>
        </w:rPr>
        <w:t>imanı</w:t>
      </w:r>
      <w:r w:rsidR="00100424" w:rsidRPr="00623CE8">
        <w:rPr>
          <w:rFonts w:cstheme="minorHAnsi"/>
        </w:rPr>
        <w:t xml:space="preserve">nda sadece gemilere ve deniz araçlarına </w:t>
      </w:r>
      <w:r w:rsidRPr="00623CE8">
        <w:rPr>
          <w:rFonts w:cstheme="minorHAnsi"/>
        </w:rPr>
        <w:t>sağlanan hizmetleri, bu hizmetlerin fiyatlarını ve özel koşullarını belirtmekte</w:t>
      </w:r>
      <w:r w:rsidR="00100424" w:rsidRPr="00623CE8">
        <w:rPr>
          <w:rFonts w:cstheme="minorHAnsi"/>
        </w:rPr>
        <w:t xml:space="preserve">dir. </w:t>
      </w:r>
    </w:p>
    <w:p w14:paraId="1A1EFBEC" w14:textId="0FA25383" w:rsidR="00100424" w:rsidRPr="00623CE8" w:rsidRDefault="00ED4679" w:rsidP="00CA15F3">
      <w:pPr>
        <w:pStyle w:val="ListeParagraf"/>
        <w:numPr>
          <w:ilvl w:val="0"/>
          <w:numId w:val="3"/>
        </w:numPr>
        <w:jc w:val="both"/>
        <w:rPr>
          <w:rFonts w:cstheme="minorHAnsi"/>
          <w:b/>
          <w:bCs/>
        </w:rPr>
      </w:pPr>
      <w:r w:rsidRPr="00623CE8">
        <w:rPr>
          <w:rFonts w:cstheme="minorHAnsi"/>
          <w:b/>
          <w:bCs/>
        </w:rPr>
        <w:t>Dayanak</w:t>
      </w:r>
      <w:r w:rsidR="00100424" w:rsidRPr="00623CE8">
        <w:rPr>
          <w:rFonts w:cstheme="minorHAnsi"/>
          <w:b/>
          <w:bCs/>
        </w:rPr>
        <w:t xml:space="preserve"> </w:t>
      </w:r>
    </w:p>
    <w:p w14:paraId="13BD24F4" w14:textId="4541C575" w:rsidR="00100424" w:rsidRPr="00623CE8" w:rsidRDefault="00FB76BB" w:rsidP="00274885">
      <w:pPr>
        <w:jc w:val="both"/>
        <w:rPr>
          <w:rFonts w:cstheme="minorHAnsi"/>
        </w:rPr>
      </w:pPr>
      <w:r w:rsidRPr="00623CE8">
        <w:rPr>
          <w:rFonts w:cstheme="minorHAnsi"/>
        </w:rPr>
        <w:t xml:space="preserve">“Eti Bakır A.Ş. Samsun Limanı </w:t>
      </w:r>
      <w:r w:rsidR="00100424" w:rsidRPr="00623CE8">
        <w:rPr>
          <w:rFonts w:cstheme="minorHAnsi"/>
        </w:rPr>
        <w:t>Hizmet Kalemleri ve Tarife</w:t>
      </w:r>
      <w:r w:rsidR="00A84F2C" w:rsidRPr="00623CE8">
        <w:rPr>
          <w:rFonts w:cstheme="minorHAnsi"/>
        </w:rPr>
        <w:t>si</w:t>
      </w:r>
      <w:r w:rsidRPr="00623CE8">
        <w:rPr>
          <w:rFonts w:cstheme="minorHAnsi"/>
        </w:rPr>
        <w:t>”</w:t>
      </w:r>
      <w:r w:rsidR="00100424" w:rsidRPr="00623CE8">
        <w:rPr>
          <w:rFonts w:cstheme="minorHAnsi"/>
        </w:rPr>
        <w:t xml:space="preserve"> 11.12.2020 tarihli ve 31331 sayılı Resmi </w:t>
      </w:r>
      <w:proofErr w:type="spellStart"/>
      <w:r w:rsidR="00100424" w:rsidRPr="00623CE8">
        <w:rPr>
          <w:rFonts w:cstheme="minorHAnsi"/>
        </w:rPr>
        <w:t>Gazete’de</w:t>
      </w:r>
      <w:proofErr w:type="spellEnd"/>
      <w:r w:rsidR="00100424" w:rsidRPr="00623CE8">
        <w:rPr>
          <w:rFonts w:cstheme="minorHAnsi"/>
        </w:rPr>
        <w:t xml:space="preserve"> yayımlanan “Kıyı Tesislerinde Gemilere Verilen Hizmetlere İlişkin Tebliğ”</w:t>
      </w:r>
      <w:r w:rsidR="00875CAB">
        <w:rPr>
          <w:rFonts w:cstheme="minorHAnsi"/>
        </w:rPr>
        <w:t>, 30.03.2023 tarihli ve 1067678 sayılı “Kıyı Tesislerinde Gemilerin Barınma Ücretleri Hakkında Yönerge”</w:t>
      </w:r>
      <w:r w:rsidR="00BE5C8F" w:rsidRPr="00623CE8">
        <w:rPr>
          <w:rFonts w:cstheme="minorHAnsi"/>
        </w:rPr>
        <w:t xml:space="preserve"> </w:t>
      </w:r>
      <w:r w:rsidR="00B36467" w:rsidRPr="00623CE8">
        <w:rPr>
          <w:rFonts w:cstheme="minorHAnsi"/>
        </w:rPr>
        <w:t>gereğince</w:t>
      </w:r>
      <w:r w:rsidR="00100424" w:rsidRPr="00623CE8">
        <w:rPr>
          <w:rFonts w:cstheme="minorHAnsi"/>
        </w:rPr>
        <w:t xml:space="preserve"> hazırlanmıştır. </w:t>
      </w:r>
    </w:p>
    <w:p w14:paraId="354871D6" w14:textId="1C450E5E" w:rsidR="00CA15F3" w:rsidRDefault="00ED4679" w:rsidP="00CA15F3">
      <w:pPr>
        <w:pStyle w:val="ListeParagraf"/>
        <w:numPr>
          <w:ilvl w:val="0"/>
          <w:numId w:val="3"/>
        </w:numPr>
        <w:jc w:val="both"/>
        <w:rPr>
          <w:rFonts w:cstheme="minorHAnsi"/>
          <w:b/>
          <w:bCs/>
        </w:rPr>
      </w:pPr>
      <w:r w:rsidRPr="00623CE8">
        <w:rPr>
          <w:rFonts w:cstheme="minorHAnsi"/>
          <w:b/>
          <w:bCs/>
        </w:rPr>
        <w:t>Tanımlar</w:t>
      </w:r>
    </w:p>
    <w:p w14:paraId="5B6ED0A1" w14:textId="77777777" w:rsidR="00E761B0" w:rsidRPr="00623CE8" w:rsidRDefault="00E761B0" w:rsidP="00E761B0">
      <w:pPr>
        <w:pStyle w:val="ListeParagraf"/>
        <w:jc w:val="both"/>
        <w:rPr>
          <w:rFonts w:cstheme="minorHAnsi"/>
          <w:b/>
          <w:bCs/>
        </w:rPr>
      </w:pPr>
    </w:p>
    <w:p w14:paraId="58CC78A7" w14:textId="122C7819" w:rsidR="00E845A1" w:rsidRPr="00623CE8" w:rsidRDefault="005B6182" w:rsidP="00CA15F3">
      <w:pPr>
        <w:pStyle w:val="ListeParagraf"/>
        <w:numPr>
          <w:ilvl w:val="0"/>
          <w:numId w:val="4"/>
        </w:numPr>
        <w:ind w:left="284"/>
        <w:jc w:val="both"/>
        <w:rPr>
          <w:rFonts w:cstheme="minorHAnsi"/>
          <w:b/>
          <w:bCs/>
        </w:rPr>
      </w:pPr>
      <w:r>
        <w:rPr>
          <w:rFonts w:cstheme="minorHAnsi"/>
          <w:b/>
          <w:bCs/>
        </w:rPr>
        <w:t>Kuruluş</w:t>
      </w:r>
      <w:r w:rsidR="00E845A1" w:rsidRPr="00623CE8">
        <w:rPr>
          <w:rFonts w:cstheme="minorHAnsi"/>
          <w:b/>
          <w:bCs/>
        </w:rPr>
        <w:t xml:space="preserve">: </w:t>
      </w:r>
      <w:r w:rsidRPr="00623CE8">
        <w:rPr>
          <w:rFonts w:cstheme="minorHAnsi"/>
        </w:rPr>
        <w:t>Eti Bakır A.Ş. Samsun İşletmesi</w:t>
      </w:r>
    </w:p>
    <w:p w14:paraId="151E7E14" w14:textId="1DC06540" w:rsidR="006B4816" w:rsidRPr="00623CE8" w:rsidRDefault="005B6182" w:rsidP="00CA15F3">
      <w:pPr>
        <w:pStyle w:val="ListeParagraf"/>
        <w:numPr>
          <w:ilvl w:val="0"/>
          <w:numId w:val="4"/>
        </w:numPr>
        <w:ind w:left="284"/>
        <w:jc w:val="both"/>
        <w:rPr>
          <w:rFonts w:cstheme="minorHAnsi"/>
        </w:rPr>
      </w:pPr>
      <w:r>
        <w:rPr>
          <w:rFonts w:cstheme="minorHAnsi"/>
          <w:b/>
          <w:bCs/>
        </w:rPr>
        <w:t>İşletme</w:t>
      </w:r>
      <w:r w:rsidR="006B4816" w:rsidRPr="00623CE8">
        <w:rPr>
          <w:rFonts w:cstheme="minorHAnsi"/>
          <w:b/>
          <w:bCs/>
        </w:rPr>
        <w:t>:</w:t>
      </w:r>
      <w:r w:rsidR="006B4816" w:rsidRPr="00623CE8">
        <w:rPr>
          <w:rFonts w:cstheme="minorHAnsi"/>
        </w:rPr>
        <w:t xml:space="preserve"> </w:t>
      </w:r>
      <w:r w:rsidRPr="005B6182">
        <w:rPr>
          <w:rFonts w:cstheme="minorHAnsi"/>
        </w:rPr>
        <w:t xml:space="preserve">Hizmetin yerine getirildiği </w:t>
      </w:r>
      <w:r>
        <w:rPr>
          <w:rFonts w:cstheme="minorHAnsi"/>
        </w:rPr>
        <w:t>k</w:t>
      </w:r>
      <w:r w:rsidRPr="005B6182">
        <w:rPr>
          <w:rFonts w:cstheme="minorHAnsi"/>
        </w:rPr>
        <w:t xml:space="preserve">uruluşa bağlı </w:t>
      </w:r>
      <w:r w:rsidRPr="00623CE8">
        <w:rPr>
          <w:rFonts w:cstheme="minorHAnsi"/>
        </w:rPr>
        <w:t xml:space="preserve">Eti Bakır A.Ş. Samsun </w:t>
      </w:r>
      <w:r>
        <w:rPr>
          <w:rFonts w:cstheme="minorHAnsi"/>
        </w:rPr>
        <w:t>Kıyı Tesisi</w:t>
      </w:r>
    </w:p>
    <w:p w14:paraId="48D2EC38" w14:textId="1578FBAF" w:rsidR="00AC4F9D" w:rsidRDefault="005B6182" w:rsidP="00CA15F3">
      <w:pPr>
        <w:pStyle w:val="ListeParagraf"/>
        <w:numPr>
          <w:ilvl w:val="0"/>
          <w:numId w:val="4"/>
        </w:numPr>
        <w:ind w:left="284"/>
        <w:jc w:val="both"/>
        <w:rPr>
          <w:rFonts w:cstheme="minorHAnsi"/>
        </w:rPr>
      </w:pPr>
      <w:r>
        <w:rPr>
          <w:rFonts w:cstheme="minorHAnsi"/>
          <w:b/>
          <w:bCs/>
        </w:rPr>
        <w:t>Gemi</w:t>
      </w:r>
      <w:r w:rsidR="00AC4F9D" w:rsidRPr="00623CE8">
        <w:rPr>
          <w:rFonts w:cstheme="minorHAnsi"/>
          <w:b/>
          <w:bCs/>
        </w:rPr>
        <w:t>:</w:t>
      </w:r>
      <w:r w:rsidR="00AC4F9D" w:rsidRPr="00623CE8">
        <w:rPr>
          <w:rFonts w:cstheme="minorHAnsi"/>
        </w:rPr>
        <w:t xml:space="preserve"> </w:t>
      </w:r>
      <w:r w:rsidR="002A73E5">
        <w:rPr>
          <w:rFonts w:cstheme="minorHAnsi"/>
        </w:rPr>
        <w:t>T</w:t>
      </w:r>
      <w:r w:rsidRPr="00623CE8">
        <w:rPr>
          <w:rFonts w:cstheme="minorHAnsi"/>
          <w:color w:val="000000" w:themeColor="text1"/>
          <w:shd w:val="clear" w:color="auto" w:fill="FFFFFF"/>
        </w:rPr>
        <w:t>ahsis edildiği amaç</w:t>
      </w:r>
      <w:r w:rsidR="002A73E5">
        <w:rPr>
          <w:rFonts w:cstheme="minorHAnsi"/>
          <w:color w:val="000000" w:themeColor="text1"/>
          <w:shd w:val="clear" w:color="auto" w:fill="FFFFFF"/>
        </w:rPr>
        <w:t>,</w:t>
      </w:r>
      <w:r w:rsidRPr="00623CE8">
        <w:rPr>
          <w:rFonts w:cstheme="minorHAnsi"/>
          <w:color w:val="000000" w:themeColor="text1"/>
          <w:shd w:val="clear" w:color="auto" w:fill="FFFFFF"/>
        </w:rPr>
        <w:t xml:space="preserve"> </w:t>
      </w:r>
      <w:r w:rsidR="002A73E5" w:rsidRPr="00623CE8">
        <w:rPr>
          <w:rFonts w:cstheme="minorHAnsi"/>
          <w:color w:val="000000" w:themeColor="text1"/>
          <w:shd w:val="clear" w:color="auto" w:fill="FFFFFF"/>
        </w:rPr>
        <w:t>kendiliğinden hareket etme şartı</w:t>
      </w:r>
      <w:r w:rsidR="002A73E5">
        <w:rPr>
          <w:rFonts w:cstheme="minorHAnsi"/>
          <w:color w:val="000000" w:themeColor="text1"/>
          <w:shd w:val="clear" w:color="auto" w:fill="FFFFFF"/>
        </w:rPr>
        <w:t xml:space="preserve"> olmadan</w:t>
      </w:r>
      <w:r w:rsidR="002A73E5" w:rsidRPr="00623CE8">
        <w:rPr>
          <w:rFonts w:cstheme="minorHAnsi"/>
          <w:color w:val="000000" w:themeColor="text1"/>
          <w:shd w:val="clear" w:color="auto" w:fill="FFFFFF"/>
        </w:rPr>
        <w:t xml:space="preserve"> </w:t>
      </w:r>
      <w:r w:rsidRPr="00623CE8">
        <w:rPr>
          <w:rFonts w:cstheme="minorHAnsi"/>
          <w:color w:val="000000" w:themeColor="text1"/>
          <w:shd w:val="clear" w:color="auto" w:fill="FFFFFF"/>
        </w:rPr>
        <w:t>suda hareket etmesini gerektiren,</w:t>
      </w:r>
      <w:r w:rsidR="002A73E5">
        <w:rPr>
          <w:rFonts w:cstheme="minorHAnsi"/>
          <w:color w:val="000000" w:themeColor="text1"/>
          <w:shd w:val="clear" w:color="auto" w:fill="FFFFFF"/>
        </w:rPr>
        <w:t xml:space="preserve"> </w:t>
      </w:r>
      <w:r w:rsidR="002A73E5" w:rsidRPr="005B6182">
        <w:rPr>
          <w:rFonts w:cstheme="minorHAnsi"/>
        </w:rPr>
        <w:t>insan ve yük taşımaya yarayan</w:t>
      </w:r>
      <w:r w:rsidRPr="00623CE8">
        <w:rPr>
          <w:rFonts w:cstheme="minorHAnsi"/>
          <w:color w:val="000000" w:themeColor="text1"/>
          <w:shd w:val="clear" w:color="auto" w:fill="FFFFFF"/>
        </w:rPr>
        <w:t xml:space="preserve"> pek küçük olmayan</w:t>
      </w:r>
      <w:r w:rsidR="002A73E5">
        <w:rPr>
          <w:rFonts w:cstheme="minorHAnsi"/>
          <w:color w:val="000000" w:themeColor="text1"/>
          <w:shd w:val="clear" w:color="auto" w:fill="FFFFFF"/>
        </w:rPr>
        <w:t xml:space="preserve"> </w:t>
      </w:r>
      <w:r w:rsidRPr="005B6182">
        <w:rPr>
          <w:rFonts w:cstheme="minorHAnsi"/>
        </w:rPr>
        <w:t xml:space="preserve">deniz araçları </w:t>
      </w:r>
    </w:p>
    <w:p w14:paraId="6F27A4D3" w14:textId="77777777" w:rsidR="005F79FA" w:rsidRPr="00623CE8" w:rsidRDefault="005F79FA" w:rsidP="005F79FA">
      <w:pPr>
        <w:pStyle w:val="ListeParagraf"/>
        <w:numPr>
          <w:ilvl w:val="0"/>
          <w:numId w:val="4"/>
        </w:numPr>
        <w:ind w:left="284"/>
        <w:jc w:val="both"/>
        <w:rPr>
          <w:rFonts w:cstheme="minorHAnsi"/>
        </w:rPr>
      </w:pPr>
      <w:proofErr w:type="spellStart"/>
      <w:r w:rsidRPr="00623CE8">
        <w:rPr>
          <w:rFonts w:cstheme="minorHAnsi"/>
          <w:b/>
          <w:bCs/>
        </w:rPr>
        <w:t>Gros</w:t>
      </w:r>
      <w:proofErr w:type="spellEnd"/>
      <w:r w:rsidRPr="00623CE8">
        <w:rPr>
          <w:rFonts w:cstheme="minorHAnsi"/>
          <w:b/>
          <w:bCs/>
        </w:rPr>
        <w:t xml:space="preserve"> Ton (GRT):</w:t>
      </w:r>
      <w:r w:rsidRPr="00623CE8">
        <w:rPr>
          <w:rFonts w:cstheme="minorHAnsi"/>
        </w:rPr>
        <w:t xml:space="preserve"> Geminin bütün kapalı yerlerinin kadem küp olarak hacminin 100 </w:t>
      </w:r>
      <w:proofErr w:type="spellStart"/>
      <w:r w:rsidRPr="00623CE8">
        <w:rPr>
          <w:rFonts w:cstheme="minorHAnsi"/>
        </w:rPr>
        <w:t>ft</w:t>
      </w:r>
      <w:proofErr w:type="spellEnd"/>
      <w:r w:rsidRPr="00623CE8">
        <w:rPr>
          <w:rFonts w:cstheme="minorHAnsi"/>
          <w:lang w:val="en-US"/>
        </w:rPr>
        <w:t>³</w:t>
      </w:r>
      <w:r w:rsidRPr="00623CE8">
        <w:rPr>
          <w:rFonts w:cstheme="minorHAnsi"/>
        </w:rPr>
        <w:t xml:space="preserve"> veya </w:t>
      </w:r>
      <w:proofErr w:type="gramStart"/>
      <w:r w:rsidRPr="00623CE8">
        <w:rPr>
          <w:rFonts w:cstheme="minorHAnsi"/>
        </w:rPr>
        <w:t>2.83</w:t>
      </w:r>
      <w:proofErr w:type="gramEnd"/>
      <w:r w:rsidRPr="00623CE8">
        <w:rPr>
          <w:rFonts w:cstheme="minorHAnsi"/>
        </w:rPr>
        <w:t xml:space="preserve"> m</w:t>
      </w:r>
      <w:r w:rsidRPr="00623CE8">
        <w:rPr>
          <w:rFonts w:cstheme="minorHAnsi"/>
          <w:lang w:val="en-US"/>
        </w:rPr>
        <w:t>³</w:t>
      </w:r>
      <w:r w:rsidRPr="00623CE8">
        <w:rPr>
          <w:rFonts w:cstheme="minorHAnsi"/>
        </w:rPr>
        <w:t xml:space="preserve"> değerine bölünmesiyle elde edilen ve Uluslararası Tonaj </w:t>
      </w:r>
      <w:proofErr w:type="spellStart"/>
      <w:r w:rsidRPr="00623CE8">
        <w:rPr>
          <w:rFonts w:cstheme="minorHAnsi"/>
        </w:rPr>
        <w:t>Sertifikası’nda</w:t>
      </w:r>
      <w:proofErr w:type="spellEnd"/>
      <w:r w:rsidRPr="00623CE8">
        <w:rPr>
          <w:rFonts w:cstheme="minorHAnsi"/>
        </w:rPr>
        <w:t xml:space="preserve"> belirtilen tonaj türüdür. Hizmetlerin ücret tahakkukunda, gemilerin Tonilato Belgelerindeki GRT değerleri, Tonilato Belgelerinde farklı GRT değeri olan gemilerde ise büyük olan GRT değeri esas alınır. </w:t>
      </w:r>
    </w:p>
    <w:p w14:paraId="7FC5E5A0" w14:textId="584BBA79" w:rsidR="0047731E" w:rsidRPr="00623CE8" w:rsidRDefault="0047731E" w:rsidP="00CA15F3">
      <w:pPr>
        <w:pStyle w:val="ListeParagraf"/>
        <w:numPr>
          <w:ilvl w:val="0"/>
          <w:numId w:val="4"/>
        </w:numPr>
        <w:ind w:left="284"/>
        <w:jc w:val="both"/>
        <w:rPr>
          <w:rFonts w:cstheme="minorHAnsi"/>
        </w:rPr>
      </w:pPr>
      <w:r w:rsidRPr="00623CE8">
        <w:rPr>
          <w:rFonts w:cstheme="minorHAnsi"/>
          <w:b/>
          <w:bCs/>
        </w:rPr>
        <w:t>Barınma:</w:t>
      </w:r>
      <w:r w:rsidRPr="00623CE8">
        <w:rPr>
          <w:rFonts w:cstheme="minorHAnsi"/>
        </w:rPr>
        <w:t xml:space="preserve"> Gemilerin Eti Bakır’a ait kıyı tesisinde yükleme ve/veya tahliye işlemleri tamamlanıncaya kadar</w:t>
      </w:r>
      <w:r w:rsidR="005F79FA">
        <w:rPr>
          <w:rFonts w:cstheme="minorHAnsi"/>
        </w:rPr>
        <w:t xml:space="preserve"> liman operasyonlarına mani olmayacak şekilde süreli</w:t>
      </w:r>
      <w:r w:rsidRPr="00623CE8">
        <w:rPr>
          <w:rFonts w:cstheme="minorHAnsi"/>
        </w:rPr>
        <w:t xml:space="preserve"> </w:t>
      </w:r>
      <w:r w:rsidR="005F79FA">
        <w:rPr>
          <w:rFonts w:cstheme="minorHAnsi"/>
        </w:rPr>
        <w:t>rıhtıma</w:t>
      </w:r>
      <w:r w:rsidRPr="00623CE8">
        <w:rPr>
          <w:rFonts w:cstheme="minorHAnsi"/>
        </w:rPr>
        <w:t xml:space="preserve"> bağlı halde olması durumudur.  </w:t>
      </w:r>
    </w:p>
    <w:p w14:paraId="015E03B8" w14:textId="7E5C77A1" w:rsidR="0029350B" w:rsidRDefault="006551E4" w:rsidP="0029350B">
      <w:pPr>
        <w:pStyle w:val="ListeParagraf"/>
        <w:numPr>
          <w:ilvl w:val="0"/>
          <w:numId w:val="4"/>
        </w:numPr>
        <w:ind w:left="284"/>
        <w:jc w:val="both"/>
        <w:rPr>
          <w:rFonts w:cstheme="minorHAnsi"/>
        </w:rPr>
      </w:pPr>
      <w:r w:rsidRPr="00623CE8">
        <w:rPr>
          <w:rFonts w:cstheme="minorHAnsi"/>
          <w:b/>
          <w:bCs/>
        </w:rPr>
        <w:t>Fuzuli İşgal:</w:t>
      </w:r>
      <w:r w:rsidRPr="00623CE8">
        <w:rPr>
          <w:rFonts w:cstheme="minorHAnsi"/>
        </w:rPr>
        <w:t xml:space="preserve"> </w:t>
      </w:r>
      <w:r w:rsidR="0029350B" w:rsidRPr="00623CE8">
        <w:rPr>
          <w:rFonts w:cstheme="minorHAnsi"/>
        </w:rPr>
        <w:t>Eti Bakır</w:t>
      </w:r>
      <w:r w:rsidR="00355FBA">
        <w:rPr>
          <w:rFonts w:cstheme="minorHAnsi"/>
        </w:rPr>
        <w:t xml:space="preserve"> Kıyı Tesisi</w:t>
      </w:r>
      <w:r w:rsidR="0029350B" w:rsidRPr="00623CE8">
        <w:rPr>
          <w:rFonts w:cstheme="minorHAnsi"/>
        </w:rPr>
        <w:t xml:space="preserve"> onayı, haberi veya talimatı olmadan </w:t>
      </w:r>
      <w:r w:rsidR="00355FBA">
        <w:rPr>
          <w:rFonts w:cstheme="minorHAnsi"/>
        </w:rPr>
        <w:t>rıhtımın</w:t>
      </w:r>
      <w:r w:rsidR="0029350B" w:rsidRPr="00623CE8">
        <w:rPr>
          <w:rFonts w:cstheme="minorHAnsi"/>
        </w:rPr>
        <w:t xml:space="preserve"> gemiler tarafından işgal edilmesi</w:t>
      </w:r>
      <w:r w:rsidR="00355FBA">
        <w:rPr>
          <w:rFonts w:cstheme="minorHAnsi"/>
        </w:rPr>
        <w:t>dir</w:t>
      </w:r>
      <w:r w:rsidR="0029350B" w:rsidRPr="00623CE8">
        <w:rPr>
          <w:rFonts w:cstheme="minorHAnsi"/>
        </w:rPr>
        <w:t xml:space="preserve">. </w:t>
      </w:r>
      <w:r w:rsidR="00355FBA">
        <w:rPr>
          <w:rFonts w:cstheme="minorHAnsi"/>
        </w:rPr>
        <w:t>G</w:t>
      </w:r>
      <w:r w:rsidR="00CE1746" w:rsidRPr="00623CE8">
        <w:rPr>
          <w:rFonts w:cstheme="minorHAnsi"/>
        </w:rPr>
        <w:t>emilerin tüm işlemlerinin tamamlanmasına</w:t>
      </w:r>
      <w:r w:rsidR="00355FBA">
        <w:rPr>
          <w:rFonts w:cstheme="minorHAnsi"/>
        </w:rPr>
        <w:t xml:space="preserve"> ve Eti Bakır Kıyı Tesisi tarafından bildirim yapılmasına</w:t>
      </w:r>
      <w:r w:rsidR="00CE1746" w:rsidRPr="00623CE8">
        <w:rPr>
          <w:rFonts w:cstheme="minorHAnsi"/>
        </w:rPr>
        <w:t xml:space="preserve"> müteakip </w:t>
      </w:r>
      <w:r w:rsidR="00355FBA">
        <w:rPr>
          <w:rFonts w:cstheme="minorHAnsi"/>
        </w:rPr>
        <w:t>3</w:t>
      </w:r>
      <w:r w:rsidR="00CE1746" w:rsidRPr="00623CE8">
        <w:rPr>
          <w:rFonts w:cstheme="minorHAnsi"/>
        </w:rPr>
        <w:t xml:space="preserve"> </w:t>
      </w:r>
      <w:r w:rsidR="00355FBA">
        <w:rPr>
          <w:rFonts w:cstheme="minorHAnsi"/>
        </w:rPr>
        <w:t>(üç</w:t>
      </w:r>
      <w:r w:rsidR="00CE1746" w:rsidRPr="00623CE8">
        <w:rPr>
          <w:rFonts w:cstheme="minorHAnsi"/>
        </w:rPr>
        <w:t xml:space="preserve">) saat içinde </w:t>
      </w:r>
      <w:r w:rsidR="00355FBA">
        <w:rPr>
          <w:rFonts w:cstheme="minorHAnsi"/>
        </w:rPr>
        <w:t>rıhtımı</w:t>
      </w:r>
      <w:r w:rsidR="00CE1746" w:rsidRPr="00623CE8">
        <w:rPr>
          <w:rFonts w:cstheme="minorHAnsi"/>
        </w:rPr>
        <w:t xml:space="preserve"> terk etmemeleri veya Eti Bakır’ın izni olmadan</w:t>
      </w:r>
      <w:r w:rsidR="00355FBA">
        <w:rPr>
          <w:rFonts w:cstheme="minorHAnsi"/>
        </w:rPr>
        <w:t xml:space="preserve"> rıhtımı</w:t>
      </w:r>
      <w:r w:rsidR="00CE1746" w:rsidRPr="00623CE8">
        <w:rPr>
          <w:rFonts w:cstheme="minorHAnsi"/>
        </w:rPr>
        <w:t xml:space="preserve"> işgal etmeleri durumudur. </w:t>
      </w:r>
    </w:p>
    <w:p w14:paraId="361E3F3B" w14:textId="77777777" w:rsidR="00D9075E" w:rsidRDefault="00D9075E" w:rsidP="00D9075E">
      <w:pPr>
        <w:pStyle w:val="ListeParagraf"/>
        <w:numPr>
          <w:ilvl w:val="0"/>
          <w:numId w:val="4"/>
        </w:numPr>
        <w:ind w:left="284"/>
        <w:jc w:val="both"/>
        <w:rPr>
          <w:rFonts w:cstheme="minorHAnsi"/>
        </w:rPr>
      </w:pPr>
      <w:r w:rsidRPr="00623CE8">
        <w:rPr>
          <w:rFonts w:cstheme="minorHAnsi"/>
          <w:b/>
          <w:bCs/>
        </w:rPr>
        <w:t>Tehlikeli Yük:</w:t>
      </w:r>
      <w:r w:rsidRPr="00623CE8">
        <w:rPr>
          <w:rFonts w:cstheme="minorHAnsi"/>
        </w:rPr>
        <w:t xml:space="preserve"> “Tehlikeli Maddelerin Denizyoluyla Taşınması Hakkında Yönetmelik’te tanımlanan tehlikeli yüklerdir. </w:t>
      </w:r>
    </w:p>
    <w:p w14:paraId="2ACA2F16" w14:textId="77777777" w:rsidR="00B872DB" w:rsidRPr="00623CE8" w:rsidRDefault="00B872DB" w:rsidP="00B872DB">
      <w:pPr>
        <w:pStyle w:val="ListeParagraf"/>
        <w:numPr>
          <w:ilvl w:val="0"/>
          <w:numId w:val="4"/>
        </w:numPr>
        <w:ind w:left="284"/>
        <w:jc w:val="both"/>
        <w:rPr>
          <w:rFonts w:cstheme="minorHAnsi"/>
        </w:rPr>
      </w:pPr>
      <w:r w:rsidRPr="00623CE8">
        <w:rPr>
          <w:rFonts w:cstheme="minorHAnsi"/>
          <w:b/>
          <w:bCs/>
        </w:rPr>
        <w:t>Hizmet Kalemi:</w:t>
      </w:r>
      <w:r w:rsidRPr="00623CE8">
        <w:rPr>
          <w:rFonts w:cstheme="minorHAnsi"/>
        </w:rPr>
        <w:t xml:space="preserve"> Eti Bakır’a ait kıyı tesisinde gemilere verilen hizmet</w:t>
      </w:r>
      <w:r w:rsidRPr="00623CE8">
        <w:rPr>
          <w:rFonts w:cstheme="minorHAnsi"/>
          <w:spacing w:val="-22"/>
        </w:rPr>
        <w:t xml:space="preserve"> </w:t>
      </w:r>
      <w:r w:rsidRPr="00623CE8">
        <w:rPr>
          <w:rFonts w:cstheme="minorHAnsi"/>
        </w:rPr>
        <w:t>çeşitleridir.</w:t>
      </w:r>
    </w:p>
    <w:p w14:paraId="43A0F90F" w14:textId="77777777" w:rsidR="00B872DB" w:rsidRDefault="00B872DB" w:rsidP="00B872DB">
      <w:pPr>
        <w:pStyle w:val="ListeParagraf"/>
        <w:numPr>
          <w:ilvl w:val="0"/>
          <w:numId w:val="4"/>
        </w:numPr>
        <w:ind w:left="284"/>
        <w:jc w:val="both"/>
        <w:rPr>
          <w:rFonts w:cstheme="minorHAnsi"/>
        </w:rPr>
      </w:pPr>
      <w:r w:rsidRPr="00623CE8">
        <w:rPr>
          <w:rFonts w:cstheme="minorHAnsi"/>
          <w:b/>
          <w:bCs/>
        </w:rPr>
        <w:t>Hizmet</w:t>
      </w:r>
      <w:r w:rsidRPr="00623CE8">
        <w:rPr>
          <w:rFonts w:cstheme="minorHAnsi"/>
        </w:rPr>
        <w:t xml:space="preserve"> </w:t>
      </w:r>
      <w:r w:rsidRPr="00623CE8">
        <w:rPr>
          <w:rFonts w:cstheme="minorHAnsi"/>
          <w:b/>
          <w:bCs/>
        </w:rPr>
        <w:t>Tarifesi:</w:t>
      </w:r>
      <w:r w:rsidRPr="00623CE8">
        <w:rPr>
          <w:rFonts w:cstheme="minorHAnsi"/>
        </w:rPr>
        <w:t xml:space="preserve"> Eti Bakır’a ait kıyı tesisinde gemilere verilen hizmetlerin karşılığı ücretleri gösteren fiyat çizelgesidir.</w:t>
      </w:r>
    </w:p>
    <w:p w14:paraId="5659A143" w14:textId="77777777" w:rsidR="00B872DB" w:rsidRPr="00623CE8" w:rsidRDefault="00B872DB" w:rsidP="00B872DB">
      <w:pPr>
        <w:pStyle w:val="ListeParagraf"/>
        <w:numPr>
          <w:ilvl w:val="0"/>
          <w:numId w:val="4"/>
        </w:numPr>
        <w:ind w:left="284"/>
        <w:jc w:val="both"/>
        <w:rPr>
          <w:rFonts w:cstheme="minorHAnsi"/>
        </w:rPr>
      </w:pPr>
      <w:r w:rsidRPr="00623CE8">
        <w:rPr>
          <w:rFonts w:cstheme="minorHAnsi"/>
          <w:b/>
          <w:bCs/>
        </w:rPr>
        <w:t>Gün:</w:t>
      </w:r>
      <w:r w:rsidRPr="00623CE8">
        <w:rPr>
          <w:rFonts w:cstheme="minorHAnsi"/>
        </w:rPr>
        <w:t xml:space="preserve"> Bir takvim günüdür. Tüm kesirler tam güne tamamlanır. </w:t>
      </w:r>
    </w:p>
    <w:p w14:paraId="5DB91BD2" w14:textId="3E06E6F7" w:rsidR="00B872DB" w:rsidRPr="00B872DB" w:rsidRDefault="00B872DB" w:rsidP="00B872DB">
      <w:pPr>
        <w:pStyle w:val="ListeParagraf"/>
        <w:numPr>
          <w:ilvl w:val="0"/>
          <w:numId w:val="4"/>
        </w:numPr>
        <w:ind w:left="284"/>
        <w:jc w:val="both"/>
        <w:rPr>
          <w:rFonts w:cstheme="minorHAnsi"/>
        </w:rPr>
      </w:pPr>
      <w:r w:rsidRPr="00623CE8">
        <w:rPr>
          <w:rFonts w:cstheme="minorHAnsi"/>
          <w:b/>
          <w:bCs/>
          <w:color w:val="000000" w:themeColor="text1"/>
        </w:rPr>
        <w:t>ISPS:</w:t>
      </w:r>
      <w:r w:rsidRPr="00623CE8">
        <w:rPr>
          <w:rFonts w:cstheme="minorHAnsi"/>
          <w:color w:val="000000" w:themeColor="text1"/>
        </w:rPr>
        <w:t xml:space="preserve"> “</w:t>
      </w:r>
      <w:r w:rsidRPr="00623CE8">
        <w:rPr>
          <w:rFonts w:eastAsia="Times New Roman" w:cstheme="minorHAnsi"/>
          <w:color w:val="222222"/>
          <w:lang w:eastAsia="tr-TR"/>
        </w:rPr>
        <w:t xml:space="preserve">Uluslararası Gemi ve Liman Tesisi Güvenlik Kodu (ISPS Kod)” ve ilgili mevzuatlar kapsamında Eti Bakır </w:t>
      </w:r>
      <w:r>
        <w:rPr>
          <w:rFonts w:eastAsia="Times New Roman" w:cstheme="minorHAnsi"/>
          <w:color w:val="222222"/>
          <w:lang w:eastAsia="tr-TR"/>
        </w:rPr>
        <w:t>K</w:t>
      </w:r>
      <w:r w:rsidRPr="00623CE8">
        <w:rPr>
          <w:rFonts w:eastAsia="Times New Roman" w:cstheme="minorHAnsi"/>
          <w:color w:val="222222"/>
          <w:lang w:eastAsia="tr-TR"/>
        </w:rPr>
        <w:t xml:space="preserve">ıyı </w:t>
      </w:r>
      <w:r>
        <w:rPr>
          <w:rFonts w:eastAsia="Times New Roman" w:cstheme="minorHAnsi"/>
          <w:color w:val="222222"/>
          <w:lang w:eastAsia="tr-TR"/>
        </w:rPr>
        <w:t>T</w:t>
      </w:r>
      <w:r w:rsidRPr="00623CE8">
        <w:rPr>
          <w:rFonts w:eastAsia="Times New Roman" w:cstheme="minorHAnsi"/>
          <w:color w:val="222222"/>
          <w:lang w:eastAsia="tr-TR"/>
        </w:rPr>
        <w:t>esisinde yürütülen faaliyetler</w:t>
      </w:r>
      <w:r>
        <w:rPr>
          <w:rFonts w:eastAsia="Times New Roman" w:cstheme="minorHAnsi"/>
          <w:color w:val="222222"/>
          <w:lang w:eastAsia="tr-TR"/>
        </w:rPr>
        <w:t>dir.</w:t>
      </w:r>
    </w:p>
    <w:p w14:paraId="7BD1F611" w14:textId="77777777" w:rsidR="00B5130E" w:rsidRDefault="00B872DB" w:rsidP="00B5130E">
      <w:pPr>
        <w:pStyle w:val="ListeParagraf"/>
        <w:numPr>
          <w:ilvl w:val="0"/>
          <w:numId w:val="4"/>
        </w:numPr>
        <w:ind w:left="284"/>
        <w:jc w:val="both"/>
        <w:rPr>
          <w:rFonts w:cstheme="minorHAnsi"/>
        </w:rPr>
      </w:pPr>
      <w:r w:rsidRPr="00BA6FB8">
        <w:rPr>
          <w:rFonts w:cstheme="minorHAnsi"/>
          <w:b/>
          <w:bCs/>
        </w:rPr>
        <w:t>İdare:</w:t>
      </w:r>
      <w:r w:rsidRPr="00BA6FB8">
        <w:rPr>
          <w:rFonts w:cstheme="minorHAnsi"/>
        </w:rPr>
        <w:t xml:space="preserve"> T.C. Ulaştırma ve Altyapı Bakanlığı, Denizcilik Genel</w:t>
      </w:r>
      <w:r w:rsidRPr="00BA6FB8">
        <w:rPr>
          <w:rFonts w:cstheme="minorHAnsi"/>
          <w:spacing w:val="-7"/>
        </w:rPr>
        <w:t xml:space="preserve"> </w:t>
      </w:r>
      <w:r w:rsidRPr="00BA6FB8">
        <w:rPr>
          <w:rFonts w:cstheme="minorHAnsi"/>
        </w:rPr>
        <w:t>Müdürlüğü’dür.</w:t>
      </w:r>
    </w:p>
    <w:p w14:paraId="0A3E8848" w14:textId="434639B5" w:rsidR="00D9075E" w:rsidRPr="00B5130E" w:rsidRDefault="00B872DB" w:rsidP="00277326">
      <w:pPr>
        <w:pStyle w:val="ListeParagraf"/>
        <w:numPr>
          <w:ilvl w:val="0"/>
          <w:numId w:val="4"/>
        </w:numPr>
        <w:ind w:left="284"/>
        <w:jc w:val="both"/>
        <w:rPr>
          <w:rFonts w:cstheme="minorHAnsi"/>
        </w:rPr>
      </w:pPr>
      <w:r w:rsidRPr="00B5130E">
        <w:rPr>
          <w:rFonts w:cstheme="minorHAnsi"/>
        </w:rPr>
        <w:t xml:space="preserve"> </w:t>
      </w:r>
      <w:r w:rsidR="00B5130E" w:rsidRPr="00B5130E">
        <w:rPr>
          <w:rFonts w:cstheme="minorHAnsi"/>
          <w:b/>
          <w:bCs/>
        </w:rPr>
        <w:t>Gemi İlgilisi:</w:t>
      </w:r>
      <w:r w:rsidR="00B5130E" w:rsidRPr="00B5130E">
        <w:rPr>
          <w:rFonts w:cstheme="minorHAnsi"/>
        </w:rPr>
        <w:t xml:space="preserve"> Donatan, işleten, kiracı, kaptan veya acenteleri ile gemiyi temsile yetkilendirilmiş gerçek veya tüzel kişilerdir.</w:t>
      </w:r>
    </w:p>
    <w:p w14:paraId="412496AB" w14:textId="77777777" w:rsidR="00E845A1" w:rsidRPr="00623CE8" w:rsidRDefault="00E845A1" w:rsidP="00E845A1">
      <w:pPr>
        <w:pStyle w:val="ListeParagraf"/>
        <w:numPr>
          <w:ilvl w:val="0"/>
          <w:numId w:val="4"/>
        </w:numPr>
        <w:ind w:left="284"/>
        <w:jc w:val="both"/>
        <w:rPr>
          <w:rFonts w:cstheme="minorHAnsi"/>
          <w:color w:val="000000" w:themeColor="text1"/>
        </w:rPr>
      </w:pPr>
      <w:r w:rsidRPr="00623CE8">
        <w:rPr>
          <w:rFonts w:cstheme="minorHAnsi"/>
          <w:b/>
          <w:bCs/>
        </w:rPr>
        <w:t>Gemi Acentesi:</w:t>
      </w:r>
      <w:r w:rsidRPr="00623CE8">
        <w:rPr>
          <w:rFonts w:cstheme="minorHAnsi"/>
        </w:rPr>
        <w:t xml:space="preserve"> </w:t>
      </w:r>
      <w:r w:rsidRPr="00623CE8">
        <w:rPr>
          <w:rFonts w:eastAsia="ヒラギノ明朝 Pro W3" w:cstheme="minorHAnsi"/>
        </w:rPr>
        <w:t xml:space="preserve">Yaptıkları anlaşmalarla gemi sahibi gerçek veya tüzel kişiler ile kaptan, işleten veya gemi kiralayanın nam ve hesabına hareket eden ve üçüncü kişi ve kuruluşlara karşı bunların haklarını koruyan, bu çerçevede yaptıkları iş ve işlemlerde kendi kusurları dışında sorumlu tutulamayan, anlaşmadaki kişi veya kuruluşu ifade eder. </w:t>
      </w:r>
    </w:p>
    <w:p w14:paraId="168F93A5" w14:textId="5BCD627C" w:rsidR="00BA6FB8" w:rsidRDefault="00B32E11" w:rsidP="007620E1">
      <w:pPr>
        <w:pStyle w:val="ListeParagraf"/>
        <w:numPr>
          <w:ilvl w:val="0"/>
          <w:numId w:val="4"/>
        </w:numPr>
        <w:ind w:left="284"/>
        <w:jc w:val="both"/>
        <w:rPr>
          <w:rFonts w:cstheme="minorHAnsi"/>
        </w:rPr>
      </w:pPr>
      <w:r w:rsidRPr="00B5130E">
        <w:rPr>
          <w:rFonts w:cstheme="minorHAnsi"/>
          <w:b/>
          <w:bCs/>
        </w:rPr>
        <w:t>Kabotaj Seferi Yapan Gemi:</w:t>
      </w:r>
      <w:r w:rsidRPr="00B5130E">
        <w:rPr>
          <w:rFonts w:cstheme="minorHAnsi"/>
        </w:rPr>
        <w:t xml:space="preserve"> Kabotaj hattında “Kabotaj Kanunu” çerçevesinde Türk limanları arasında sefer yapan Türk bayraklı gemilerdir. Ancak iş bu tarifeye konu olan seferde Türk bayraklı olmasına karşın yükleme veya tahliye limanlarından biri yurt dışı </w:t>
      </w:r>
      <w:r w:rsidR="00B5130E" w:rsidRPr="00B5130E">
        <w:rPr>
          <w:rFonts w:cstheme="minorHAnsi"/>
        </w:rPr>
        <w:t>limanı</w:t>
      </w:r>
      <w:r w:rsidRPr="00B5130E">
        <w:rPr>
          <w:rFonts w:cstheme="minorHAnsi"/>
        </w:rPr>
        <w:t xml:space="preserve"> olması halinde (bu sefer içinde herhangi bir amaçla yurt içinde ara liman yapsa dahi) kabotaj seferi yapan gemi sayılmaz. </w:t>
      </w:r>
    </w:p>
    <w:p w14:paraId="58A4A9C2" w14:textId="77777777" w:rsidR="00B5130E" w:rsidRDefault="00B5130E" w:rsidP="00B5130E">
      <w:pPr>
        <w:jc w:val="both"/>
        <w:rPr>
          <w:rFonts w:cstheme="minorHAnsi"/>
        </w:rPr>
      </w:pPr>
    </w:p>
    <w:p w14:paraId="773F881A" w14:textId="77777777" w:rsidR="00935927" w:rsidRPr="0048371C" w:rsidRDefault="00935927" w:rsidP="0048371C">
      <w:pPr>
        <w:jc w:val="both"/>
        <w:rPr>
          <w:rFonts w:cstheme="minorHAnsi"/>
        </w:rPr>
      </w:pPr>
    </w:p>
    <w:p w14:paraId="0BB889BD" w14:textId="3292AF20" w:rsidR="000160FB" w:rsidRDefault="000160FB" w:rsidP="00CA15F3">
      <w:pPr>
        <w:pStyle w:val="ListeParagraf"/>
        <w:numPr>
          <w:ilvl w:val="0"/>
          <w:numId w:val="3"/>
        </w:numPr>
        <w:jc w:val="both"/>
        <w:rPr>
          <w:rFonts w:cstheme="minorHAnsi"/>
          <w:b/>
          <w:bCs/>
        </w:rPr>
      </w:pPr>
      <w:r w:rsidRPr="00623CE8">
        <w:rPr>
          <w:rFonts w:cstheme="minorHAnsi"/>
          <w:b/>
          <w:bCs/>
        </w:rPr>
        <w:lastRenderedPageBreak/>
        <w:t>Koşullar</w:t>
      </w:r>
      <w:r w:rsidR="007501C3" w:rsidRPr="00623CE8">
        <w:rPr>
          <w:rFonts w:cstheme="minorHAnsi"/>
          <w:b/>
          <w:bCs/>
        </w:rPr>
        <w:t xml:space="preserve"> ve Ücretlerin Faturalandırılması</w:t>
      </w:r>
    </w:p>
    <w:p w14:paraId="5871C348" w14:textId="77777777" w:rsidR="000046E3" w:rsidRPr="00623CE8" w:rsidRDefault="000046E3" w:rsidP="000046E3">
      <w:pPr>
        <w:pStyle w:val="ListeParagraf"/>
        <w:jc w:val="both"/>
        <w:rPr>
          <w:rFonts w:cstheme="minorHAnsi"/>
          <w:b/>
          <w:bCs/>
        </w:rPr>
      </w:pPr>
    </w:p>
    <w:p w14:paraId="1FA7A3B4" w14:textId="41BF8458" w:rsidR="00EE350D" w:rsidRPr="00623CE8" w:rsidRDefault="00A84F2C" w:rsidP="001B2981">
      <w:pPr>
        <w:pStyle w:val="ListeParagraf"/>
        <w:numPr>
          <w:ilvl w:val="0"/>
          <w:numId w:val="5"/>
        </w:numPr>
        <w:ind w:left="284"/>
        <w:jc w:val="both"/>
        <w:rPr>
          <w:rFonts w:cstheme="minorHAnsi"/>
        </w:rPr>
      </w:pPr>
      <w:r w:rsidRPr="00623CE8">
        <w:rPr>
          <w:rFonts w:cstheme="minorHAnsi"/>
        </w:rPr>
        <w:t xml:space="preserve">“Eti Bakır A.Ş. Samsun Limanı Hizmet Kalemleri ve Tarifesi” </w:t>
      </w:r>
      <w:r w:rsidR="000160FB" w:rsidRPr="00623CE8">
        <w:rPr>
          <w:rFonts w:cstheme="minorHAnsi"/>
        </w:rPr>
        <w:t>01.</w:t>
      </w:r>
      <w:r w:rsidR="00CA15F3" w:rsidRPr="00623CE8">
        <w:rPr>
          <w:rFonts w:cstheme="minorHAnsi"/>
        </w:rPr>
        <w:t>01</w:t>
      </w:r>
      <w:r w:rsidR="000160FB" w:rsidRPr="00623CE8">
        <w:rPr>
          <w:rFonts w:cstheme="minorHAnsi"/>
        </w:rPr>
        <w:t>.202</w:t>
      </w:r>
      <w:r w:rsidR="004B1CE0">
        <w:rPr>
          <w:rFonts w:cstheme="minorHAnsi"/>
        </w:rPr>
        <w:t>4</w:t>
      </w:r>
      <w:r w:rsidR="000160FB" w:rsidRPr="00623CE8">
        <w:rPr>
          <w:rFonts w:cstheme="minorHAnsi"/>
        </w:rPr>
        <w:t xml:space="preserve"> tarihinden itibaren </w:t>
      </w:r>
      <w:r w:rsidR="00CA15F3" w:rsidRPr="00623CE8">
        <w:rPr>
          <w:rFonts w:cstheme="minorHAnsi"/>
        </w:rPr>
        <w:t>yürürlüğe girecek</w:t>
      </w:r>
      <w:r w:rsidR="000160FB" w:rsidRPr="00623CE8">
        <w:rPr>
          <w:rFonts w:cstheme="minorHAnsi"/>
        </w:rPr>
        <w:t xml:space="preserve"> ve yeni bir duyuruya kadar geçerli olacaktır. Liman Hizmet Kalemleri ve Tarife</w:t>
      </w:r>
      <w:r w:rsidRPr="00623CE8">
        <w:rPr>
          <w:rFonts w:cstheme="minorHAnsi"/>
        </w:rPr>
        <w:t>si</w:t>
      </w:r>
      <w:r w:rsidR="000160FB" w:rsidRPr="00623CE8">
        <w:rPr>
          <w:rFonts w:cstheme="minorHAnsi"/>
        </w:rPr>
        <w:t xml:space="preserve"> </w:t>
      </w:r>
      <w:hyperlink r:id="rId10" w:history="1">
        <w:r w:rsidR="000160FB" w:rsidRPr="00623CE8">
          <w:rPr>
            <w:rStyle w:val="Kpr"/>
            <w:rFonts w:cstheme="minorHAnsi"/>
          </w:rPr>
          <w:t>www.etibakir.com.tr</w:t>
        </w:r>
      </w:hyperlink>
      <w:r w:rsidR="000160FB" w:rsidRPr="00623CE8">
        <w:rPr>
          <w:rFonts w:cstheme="minorHAnsi"/>
        </w:rPr>
        <w:t xml:space="preserve"> adresinden </w:t>
      </w:r>
      <w:r w:rsidRPr="00623CE8">
        <w:rPr>
          <w:rFonts w:cstheme="minorHAnsi"/>
        </w:rPr>
        <w:t xml:space="preserve">yayınlanır. </w:t>
      </w:r>
    </w:p>
    <w:p w14:paraId="5352DDF8" w14:textId="33D9AE4F" w:rsidR="001B2981" w:rsidRPr="000046E3" w:rsidRDefault="00100424" w:rsidP="004B62E2">
      <w:pPr>
        <w:pStyle w:val="ListeParagraf"/>
        <w:numPr>
          <w:ilvl w:val="0"/>
          <w:numId w:val="5"/>
        </w:numPr>
        <w:ind w:left="284"/>
        <w:jc w:val="both"/>
        <w:rPr>
          <w:rFonts w:cstheme="minorHAnsi"/>
        </w:rPr>
      </w:pPr>
      <w:r w:rsidRPr="000046E3">
        <w:rPr>
          <w:rFonts w:cstheme="minorHAnsi"/>
        </w:rPr>
        <w:t>E</w:t>
      </w:r>
      <w:r w:rsidR="00CA15F3" w:rsidRPr="000046E3">
        <w:rPr>
          <w:rFonts w:cstheme="minorHAnsi"/>
        </w:rPr>
        <w:t>ti</w:t>
      </w:r>
      <w:r w:rsidRPr="000046E3">
        <w:rPr>
          <w:rFonts w:cstheme="minorHAnsi"/>
        </w:rPr>
        <w:t xml:space="preserve"> B</w:t>
      </w:r>
      <w:r w:rsidR="006877C7" w:rsidRPr="000046E3">
        <w:rPr>
          <w:rFonts w:cstheme="minorHAnsi"/>
        </w:rPr>
        <w:t>akır</w:t>
      </w:r>
      <w:r w:rsidRPr="000046E3">
        <w:rPr>
          <w:rFonts w:cstheme="minorHAnsi"/>
        </w:rPr>
        <w:t>’ın Liman Hizmet Kalemleri ve Tarife</w:t>
      </w:r>
      <w:r w:rsidR="00A84F2C" w:rsidRPr="000046E3">
        <w:rPr>
          <w:rFonts w:cstheme="minorHAnsi"/>
        </w:rPr>
        <w:t>s</w:t>
      </w:r>
      <w:r w:rsidRPr="000046E3">
        <w:rPr>
          <w:rFonts w:cstheme="minorHAnsi"/>
        </w:rPr>
        <w:t>i tavan fiyat niteliğinde</w:t>
      </w:r>
      <w:r w:rsidR="000046E3" w:rsidRPr="000046E3">
        <w:rPr>
          <w:rFonts w:cstheme="minorHAnsi"/>
        </w:rPr>
        <w:t xml:space="preserve"> olup bunun altında fiyat vermeye-ücretsiz hizmet sunma hakkı vardır.</w:t>
      </w:r>
    </w:p>
    <w:p w14:paraId="20EAB384" w14:textId="0BC224A1" w:rsidR="001B2981" w:rsidRPr="00623CE8" w:rsidRDefault="00CA15F3" w:rsidP="001B2981">
      <w:pPr>
        <w:pStyle w:val="ListeParagraf"/>
        <w:numPr>
          <w:ilvl w:val="0"/>
          <w:numId w:val="5"/>
        </w:numPr>
        <w:ind w:left="284"/>
        <w:jc w:val="both"/>
        <w:rPr>
          <w:rFonts w:cstheme="minorHAnsi"/>
        </w:rPr>
      </w:pPr>
      <w:r w:rsidRPr="00623CE8">
        <w:rPr>
          <w:rFonts w:cstheme="minorHAnsi"/>
        </w:rPr>
        <w:t>İşbu hizmet tarifesin</w:t>
      </w:r>
      <w:r w:rsidR="00FC4768" w:rsidRPr="00623CE8">
        <w:rPr>
          <w:rFonts w:cstheme="minorHAnsi"/>
        </w:rPr>
        <w:t xml:space="preserve">de </w:t>
      </w:r>
      <w:r w:rsidRPr="00623CE8">
        <w:rPr>
          <w:rFonts w:cstheme="minorHAnsi"/>
        </w:rPr>
        <w:t xml:space="preserve">detaylı biçimde açıklanan hizmetlerin herhangi birinden hizmet talebinde bulunan gemi ilgilisi müştereken ve müteselsil sorumludur. </w:t>
      </w:r>
    </w:p>
    <w:p w14:paraId="4F103935" w14:textId="77777777" w:rsidR="001B2981" w:rsidRPr="00623CE8" w:rsidRDefault="00CA15F3" w:rsidP="001B2981">
      <w:pPr>
        <w:pStyle w:val="ListeParagraf"/>
        <w:numPr>
          <w:ilvl w:val="0"/>
          <w:numId w:val="5"/>
        </w:numPr>
        <w:ind w:left="284"/>
        <w:jc w:val="both"/>
        <w:rPr>
          <w:rFonts w:cstheme="minorHAnsi"/>
        </w:rPr>
      </w:pPr>
      <w:r w:rsidRPr="00623CE8">
        <w:rPr>
          <w:rFonts w:cstheme="minorHAnsi"/>
        </w:rPr>
        <w:t xml:space="preserve">Eti Bakır kıyı tesisinden hizmet almak isteyen gemi ilgilileri Eti Bakır tarafından istenilen bilgi ve belgeleri Eti Bakır’ın istediği zamanda (gemi varışından en geç 24 saat öncesi) sunmak durumundadır. </w:t>
      </w:r>
    </w:p>
    <w:p w14:paraId="406A933D" w14:textId="4CC9914A" w:rsidR="001B2981" w:rsidRPr="00623CE8" w:rsidRDefault="009A64ED" w:rsidP="001B2981">
      <w:pPr>
        <w:pStyle w:val="ListeParagraf"/>
        <w:numPr>
          <w:ilvl w:val="0"/>
          <w:numId w:val="5"/>
        </w:numPr>
        <w:ind w:left="284"/>
        <w:jc w:val="both"/>
        <w:rPr>
          <w:rFonts w:cstheme="minorHAnsi"/>
        </w:rPr>
      </w:pPr>
      <w:r w:rsidRPr="00623CE8">
        <w:rPr>
          <w:rFonts w:cstheme="minorHAnsi"/>
        </w:rPr>
        <w:t>“Eti Bakır A.Ş. Samsun Limanı Hizmet Kalemleri ve Tarife</w:t>
      </w:r>
      <w:r w:rsidR="00A84F2C" w:rsidRPr="00623CE8">
        <w:rPr>
          <w:rFonts w:cstheme="minorHAnsi"/>
        </w:rPr>
        <w:t>si</w:t>
      </w:r>
      <w:r w:rsidRPr="00623CE8">
        <w:rPr>
          <w:rFonts w:cstheme="minorHAnsi"/>
        </w:rPr>
        <w:t xml:space="preserve">” Eti Bakır tarafından yürütülür. Tatbikatında tereddüt edilen madde ve hususların yorumu Eti Bakır tarafından yapılır. </w:t>
      </w:r>
    </w:p>
    <w:p w14:paraId="1FDAC7E4" w14:textId="68C4D2EB" w:rsidR="004C41FE" w:rsidRPr="00623CE8" w:rsidRDefault="009A64ED" w:rsidP="004C41FE">
      <w:pPr>
        <w:pStyle w:val="ListeParagraf"/>
        <w:numPr>
          <w:ilvl w:val="0"/>
          <w:numId w:val="5"/>
        </w:numPr>
        <w:ind w:left="284"/>
        <w:jc w:val="both"/>
        <w:rPr>
          <w:rFonts w:cstheme="minorHAnsi"/>
        </w:rPr>
      </w:pPr>
      <w:r w:rsidRPr="00623CE8">
        <w:rPr>
          <w:rFonts w:cstheme="minorHAnsi"/>
        </w:rPr>
        <w:t xml:space="preserve">“Eti Bakır A.Ş. Samsun Limanı Hizmet Kalemleri ve </w:t>
      </w:r>
      <w:proofErr w:type="spellStart"/>
      <w:r w:rsidRPr="00623CE8">
        <w:rPr>
          <w:rFonts w:cstheme="minorHAnsi"/>
        </w:rPr>
        <w:t>Tarife</w:t>
      </w:r>
      <w:r w:rsidR="00A84F2C" w:rsidRPr="00623CE8">
        <w:rPr>
          <w:rFonts w:cstheme="minorHAnsi"/>
        </w:rPr>
        <w:t>s</w:t>
      </w:r>
      <w:r w:rsidRPr="00623CE8">
        <w:rPr>
          <w:rFonts w:cstheme="minorHAnsi"/>
        </w:rPr>
        <w:t>i”nde</w:t>
      </w:r>
      <w:proofErr w:type="spellEnd"/>
      <w:r w:rsidRPr="00623CE8">
        <w:rPr>
          <w:rFonts w:cstheme="minorHAnsi"/>
        </w:rPr>
        <w:t xml:space="preserve"> belirtilen ücretler gemi ilgilisinden müştereken ve / veya müteselsil alınır. </w:t>
      </w:r>
    </w:p>
    <w:p w14:paraId="5676835D" w14:textId="457ABCB4" w:rsidR="00254A37" w:rsidRPr="00623CE8" w:rsidRDefault="007501C3" w:rsidP="004C41FE">
      <w:pPr>
        <w:pStyle w:val="ListeParagraf"/>
        <w:numPr>
          <w:ilvl w:val="0"/>
          <w:numId w:val="5"/>
        </w:numPr>
        <w:ind w:left="284"/>
        <w:jc w:val="both"/>
        <w:rPr>
          <w:rFonts w:cstheme="minorHAnsi"/>
        </w:rPr>
      </w:pPr>
      <w:r w:rsidRPr="00623CE8">
        <w:rPr>
          <w:rFonts w:cstheme="minorHAnsi"/>
        </w:rPr>
        <w:t xml:space="preserve">“Eti Bakır A.Ş. Samsun Limanı Hizmet Kalemleri ve </w:t>
      </w:r>
      <w:proofErr w:type="spellStart"/>
      <w:r w:rsidRPr="00623CE8">
        <w:rPr>
          <w:rFonts w:cstheme="minorHAnsi"/>
        </w:rPr>
        <w:t>Tarife</w:t>
      </w:r>
      <w:r w:rsidR="00A84F2C" w:rsidRPr="00623CE8">
        <w:rPr>
          <w:rFonts w:cstheme="minorHAnsi"/>
        </w:rPr>
        <w:t>s</w:t>
      </w:r>
      <w:r w:rsidRPr="00623CE8">
        <w:rPr>
          <w:rFonts w:cstheme="minorHAnsi"/>
        </w:rPr>
        <w:t>i”nde</w:t>
      </w:r>
      <w:proofErr w:type="spellEnd"/>
      <w:r w:rsidRPr="00623CE8">
        <w:rPr>
          <w:rFonts w:cstheme="minorHAnsi"/>
        </w:rPr>
        <w:t xml:space="preserve"> belirtilen ücretler</w:t>
      </w:r>
      <w:r w:rsidR="0073545C" w:rsidRPr="00623CE8">
        <w:rPr>
          <w:rFonts w:cstheme="minorHAnsi"/>
        </w:rPr>
        <w:t xml:space="preserve"> ABD </w:t>
      </w:r>
      <w:proofErr w:type="gramStart"/>
      <w:r w:rsidR="0073545C" w:rsidRPr="00623CE8">
        <w:rPr>
          <w:rFonts w:cstheme="minorHAnsi"/>
        </w:rPr>
        <w:t>Dolar</w:t>
      </w:r>
      <w:proofErr w:type="gramEnd"/>
      <w:r w:rsidR="0073545C" w:rsidRPr="00623CE8">
        <w:rPr>
          <w:rFonts w:cstheme="minorHAnsi"/>
        </w:rPr>
        <w:t xml:space="preserve"> kurundan hesaplanır.</w:t>
      </w:r>
      <w:r w:rsidR="0089467B" w:rsidRPr="00623CE8">
        <w:rPr>
          <w:rFonts w:cstheme="minorHAnsi"/>
        </w:rPr>
        <w:t xml:space="preserve"> </w:t>
      </w:r>
      <w:r w:rsidRPr="00623CE8">
        <w:rPr>
          <w:rFonts w:cstheme="minorHAnsi"/>
        </w:rPr>
        <w:t>Fatura tanzim tarihi; hizmet sunumlarının tamamlandığı veya geminin kalktığı işgününde (</w:t>
      </w:r>
      <w:proofErr w:type="spellStart"/>
      <w:r w:rsidRPr="00623CE8">
        <w:rPr>
          <w:rFonts w:cstheme="minorHAnsi"/>
        </w:rPr>
        <w:t>haftasonu</w:t>
      </w:r>
      <w:proofErr w:type="spellEnd"/>
      <w:r w:rsidRPr="00623CE8">
        <w:rPr>
          <w:rFonts w:cstheme="minorHAnsi"/>
        </w:rPr>
        <w:t xml:space="preserve"> veya resmi tatil günlerine denk </w:t>
      </w:r>
      <w:r w:rsidRPr="00623CE8">
        <w:rPr>
          <w:rFonts w:cstheme="minorHAnsi"/>
          <w:color w:val="000000" w:themeColor="text1"/>
        </w:rPr>
        <w:t xml:space="preserve">gelen günlerde sonraki ilk işgünü) </w:t>
      </w:r>
      <w:bookmarkStart w:id="0" w:name="_Hlk119581806"/>
      <w:r w:rsidRPr="00623CE8">
        <w:rPr>
          <w:rFonts w:cstheme="minorHAnsi"/>
          <w:color w:val="000000" w:themeColor="text1"/>
        </w:rPr>
        <w:t xml:space="preserve">T.C. Merkez Bankası tarafından açıklanan ABD </w:t>
      </w:r>
      <w:proofErr w:type="gramStart"/>
      <w:r w:rsidRPr="00623CE8">
        <w:rPr>
          <w:rFonts w:cstheme="minorHAnsi"/>
          <w:color w:val="000000" w:themeColor="text1"/>
        </w:rPr>
        <w:t>Doları</w:t>
      </w:r>
      <w:proofErr w:type="gramEnd"/>
      <w:r w:rsidRPr="00623CE8">
        <w:rPr>
          <w:rFonts w:cstheme="minorHAnsi"/>
          <w:color w:val="000000" w:themeColor="text1"/>
        </w:rPr>
        <w:t xml:space="preserve"> </w:t>
      </w:r>
      <w:r w:rsidR="00FC4768" w:rsidRPr="00623CE8">
        <w:rPr>
          <w:rFonts w:cstheme="minorHAnsi"/>
          <w:color w:val="000000" w:themeColor="text1"/>
        </w:rPr>
        <w:t>Alış</w:t>
      </w:r>
      <w:r w:rsidR="00481B44" w:rsidRPr="00623CE8">
        <w:rPr>
          <w:rFonts w:cstheme="minorHAnsi"/>
          <w:color w:val="000000" w:themeColor="text1"/>
        </w:rPr>
        <w:t xml:space="preserve"> </w:t>
      </w:r>
      <w:r w:rsidRPr="00623CE8">
        <w:rPr>
          <w:rFonts w:cstheme="minorHAnsi"/>
          <w:color w:val="000000" w:themeColor="text1"/>
        </w:rPr>
        <w:t xml:space="preserve">kuru </w:t>
      </w:r>
      <w:bookmarkEnd w:id="0"/>
      <w:r w:rsidRPr="00623CE8">
        <w:rPr>
          <w:rFonts w:cstheme="minorHAnsi"/>
          <w:color w:val="000000" w:themeColor="text1"/>
        </w:rPr>
        <w:t xml:space="preserve">üzerinden Türk Lirasına çevrilerek gemi ilgilisine tanzim edilir. </w:t>
      </w:r>
    </w:p>
    <w:p w14:paraId="2DD3FF96" w14:textId="02F0E609" w:rsidR="007501C3" w:rsidRDefault="006F194C" w:rsidP="001B2981">
      <w:pPr>
        <w:pStyle w:val="ListeParagraf"/>
        <w:numPr>
          <w:ilvl w:val="0"/>
          <w:numId w:val="5"/>
        </w:numPr>
        <w:ind w:left="284"/>
        <w:jc w:val="both"/>
        <w:rPr>
          <w:rFonts w:cstheme="minorHAnsi"/>
        </w:rPr>
      </w:pPr>
      <w:r w:rsidRPr="00623CE8">
        <w:rPr>
          <w:rFonts w:cstheme="minorHAnsi"/>
        </w:rPr>
        <w:t xml:space="preserve">Eti Bakır, liman hizmetlerinin sunumu öncesinde gemi ilgilisinden hizmetlere ilişkin taahhütname veya depozito isteme hakkına sahiptir. </w:t>
      </w:r>
    </w:p>
    <w:p w14:paraId="74CBAFA6" w14:textId="77777777" w:rsidR="00B5130E" w:rsidRDefault="00B5130E" w:rsidP="00B5130E">
      <w:pPr>
        <w:jc w:val="both"/>
        <w:rPr>
          <w:rFonts w:cstheme="minorHAnsi"/>
        </w:rPr>
      </w:pPr>
    </w:p>
    <w:p w14:paraId="6EF72FC1" w14:textId="77777777" w:rsidR="00B5130E" w:rsidRDefault="00B5130E" w:rsidP="00B5130E">
      <w:pPr>
        <w:jc w:val="both"/>
        <w:rPr>
          <w:rFonts w:cstheme="minorHAnsi"/>
        </w:rPr>
      </w:pPr>
    </w:p>
    <w:p w14:paraId="61A6D239" w14:textId="77777777" w:rsidR="00B5130E" w:rsidRDefault="00B5130E" w:rsidP="00B5130E">
      <w:pPr>
        <w:jc w:val="both"/>
        <w:rPr>
          <w:rFonts w:cstheme="minorHAnsi"/>
        </w:rPr>
      </w:pPr>
    </w:p>
    <w:p w14:paraId="23145367" w14:textId="77777777" w:rsidR="00B5130E" w:rsidRDefault="00B5130E" w:rsidP="00B5130E">
      <w:pPr>
        <w:jc w:val="both"/>
        <w:rPr>
          <w:rFonts w:cstheme="minorHAnsi"/>
        </w:rPr>
      </w:pPr>
    </w:p>
    <w:p w14:paraId="1D19AC10" w14:textId="77777777" w:rsidR="00B5130E" w:rsidRDefault="00B5130E" w:rsidP="00B5130E">
      <w:pPr>
        <w:jc w:val="both"/>
        <w:rPr>
          <w:rFonts w:cstheme="minorHAnsi"/>
        </w:rPr>
      </w:pPr>
    </w:p>
    <w:p w14:paraId="4DCFF0AB" w14:textId="77777777" w:rsidR="00B5130E" w:rsidRDefault="00B5130E" w:rsidP="00B5130E">
      <w:pPr>
        <w:jc w:val="both"/>
        <w:rPr>
          <w:rFonts w:cstheme="minorHAnsi"/>
        </w:rPr>
      </w:pPr>
    </w:p>
    <w:p w14:paraId="59FF9AC3" w14:textId="692D3037" w:rsidR="00B5130E" w:rsidRDefault="00B5130E" w:rsidP="00B5130E">
      <w:pPr>
        <w:jc w:val="both"/>
        <w:rPr>
          <w:rFonts w:cstheme="minorHAnsi"/>
        </w:rPr>
      </w:pPr>
    </w:p>
    <w:p w14:paraId="059FA738" w14:textId="77777777" w:rsidR="0048371C" w:rsidRDefault="0048371C" w:rsidP="00B5130E">
      <w:pPr>
        <w:jc w:val="both"/>
        <w:rPr>
          <w:rFonts w:cstheme="minorHAnsi"/>
        </w:rPr>
      </w:pPr>
    </w:p>
    <w:p w14:paraId="7FCA72DB" w14:textId="77777777" w:rsidR="00B5130E" w:rsidRDefault="00B5130E" w:rsidP="00B5130E">
      <w:pPr>
        <w:jc w:val="both"/>
        <w:rPr>
          <w:rFonts w:cstheme="minorHAnsi"/>
        </w:rPr>
      </w:pPr>
    </w:p>
    <w:p w14:paraId="24485EB0" w14:textId="77777777" w:rsidR="00B5130E" w:rsidRDefault="00B5130E" w:rsidP="00B5130E">
      <w:pPr>
        <w:jc w:val="both"/>
        <w:rPr>
          <w:rFonts w:cstheme="minorHAnsi"/>
        </w:rPr>
      </w:pPr>
    </w:p>
    <w:p w14:paraId="56185279" w14:textId="77777777" w:rsidR="00B5130E" w:rsidRDefault="00B5130E" w:rsidP="00B5130E">
      <w:pPr>
        <w:jc w:val="both"/>
        <w:rPr>
          <w:rFonts w:cstheme="minorHAnsi"/>
        </w:rPr>
      </w:pPr>
    </w:p>
    <w:p w14:paraId="4D78B071" w14:textId="77777777" w:rsidR="00B5130E" w:rsidRDefault="00B5130E" w:rsidP="00B5130E">
      <w:pPr>
        <w:jc w:val="both"/>
        <w:rPr>
          <w:rFonts w:cstheme="minorHAnsi"/>
        </w:rPr>
      </w:pPr>
    </w:p>
    <w:p w14:paraId="1D43616F" w14:textId="77777777" w:rsidR="00B5130E" w:rsidRDefault="00B5130E" w:rsidP="00B5130E">
      <w:pPr>
        <w:jc w:val="both"/>
        <w:rPr>
          <w:rFonts w:cstheme="minorHAnsi"/>
        </w:rPr>
      </w:pPr>
    </w:p>
    <w:p w14:paraId="6B28A3C6" w14:textId="77777777" w:rsidR="00B5130E" w:rsidRDefault="00B5130E" w:rsidP="00B5130E">
      <w:pPr>
        <w:jc w:val="both"/>
        <w:rPr>
          <w:rFonts w:cstheme="minorHAnsi"/>
        </w:rPr>
      </w:pPr>
    </w:p>
    <w:p w14:paraId="0E456D84" w14:textId="77777777" w:rsidR="00B5130E" w:rsidRDefault="00B5130E" w:rsidP="00B5130E">
      <w:pPr>
        <w:jc w:val="both"/>
        <w:rPr>
          <w:rFonts w:cstheme="minorHAnsi"/>
        </w:rPr>
      </w:pPr>
    </w:p>
    <w:p w14:paraId="13ED91B1" w14:textId="77777777" w:rsidR="00B5130E" w:rsidRPr="00B5130E" w:rsidRDefault="00B5130E" w:rsidP="00B5130E">
      <w:pPr>
        <w:jc w:val="both"/>
        <w:rPr>
          <w:rFonts w:cstheme="minorHAnsi"/>
        </w:rPr>
      </w:pPr>
    </w:p>
    <w:p w14:paraId="505F283A" w14:textId="77777777" w:rsidR="00BA6FB8" w:rsidRPr="00BA6FB8" w:rsidRDefault="00BA6FB8" w:rsidP="00BA6FB8">
      <w:pPr>
        <w:jc w:val="both"/>
        <w:rPr>
          <w:rFonts w:cstheme="minorHAnsi"/>
        </w:rPr>
      </w:pPr>
    </w:p>
    <w:p w14:paraId="729533A8" w14:textId="77777777" w:rsidR="00D01E14" w:rsidRPr="00623CE8" w:rsidRDefault="00D01E14" w:rsidP="00D01E14">
      <w:pPr>
        <w:pStyle w:val="ListeParagraf"/>
        <w:ind w:left="284"/>
        <w:jc w:val="both"/>
        <w:rPr>
          <w:rFonts w:cstheme="minorHAnsi"/>
          <w:b/>
          <w:bCs/>
        </w:rPr>
      </w:pPr>
    </w:p>
    <w:p w14:paraId="71FA6FE5" w14:textId="3830AA6E" w:rsidR="00201D5C" w:rsidRPr="00282FCA" w:rsidRDefault="00FC4768" w:rsidP="00EF1873">
      <w:pPr>
        <w:pStyle w:val="ListeParagraf"/>
        <w:numPr>
          <w:ilvl w:val="0"/>
          <w:numId w:val="3"/>
        </w:numPr>
        <w:ind w:left="284"/>
        <w:jc w:val="both"/>
        <w:rPr>
          <w:rFonts w:cstheme="minorHAnsi"/>
          <w:b/>
          <w:bCs/>
        </w:rPr>
      </w:pPr>
      <w:r w:rsidRPr="00282FCA">
        <w:rPr>
          <w:rFonts w:cstheme="minorHAnsi"/>
          <w:b/>
          <w:bCs/>
        </w:rPr>
        <w:t xml:space="preserve">Barınma Ücret Tarifesi </w:t>
      </w:r>
    </w:p>
    <w:p w14:paraId="1B707B6C" w14:textId="53A010FE" w:rsidR="00201D5C" w:rsidRDefault="00282FCA" w:rsidP="00201D5C">
      <w:pPr>
        <w:jc w:val="both"/>
        <w:rPr>
          <w:rFonts w:cstheme="minorHAnsi"/>
          <w:b/>
          <w:bCs/>
        </w:rPr>
      </w:pPr>
      <w:r>
        <w:rPr>
          <w:rFonts w:cstheme="minorHAnsi"/>
          <w:b/>
          <w:bCs/>
          <w:noProof/>
        </w:rPr>
        <w:drawing>
          <wp:inline distT="0" distB="0" distL="0" distR="0" wp14:anchorId="4F614DA4" wp14:editId="032AB50B">
            <wp:extent cx="4937125" cy="823722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37125" cy="8237220"/>
                    </a:xfrm>
                    <a:prstGeom prst="rect">
                      <a:avLst/>
                    </a:prstGeom>
                    <a:noFill/>
                    <a:ln>
                      <a:noFill/>
                    </a:ln>
                  </pic:spPr>
                </pic:pic>
              </a:graphicData>
            </a:graphic>
          </wp:inline>
        </w:drawing>
      </w:r>
    </w:p>
    <w:p w14:paraId="1E062E9B" w14:textId="77777777" w:rsidR="00201D5C" w:rsidRDefault="00201D5C" w:rsidP="00201D5C">
      <w:pPr>
        <w:jc w:val="both"/>
        <w:rPr>
          <w:rFonts w:cstheme="minorHAnsi"/>
          <w:b/>
          <w:bCs/>
        </w:rPr>
      </w:pPr>
    </w:p>
    <w:p w14:paraId="37065535" w14:textId="77777777" w:rsidR="00706CEC" w:rsidRPr="00623CE8" w:rsidRDefault="00706CEC" w:rsidP="00706CEC">
      <w:pPr>
        <w:pStyle w:val="ListeParagraf"/>
        <w:tabs>
          <w:tab w:val="left" w:pos="567"/>
        </w:tabs>
        <w:ind w:left="284"/>
        <w:jc w:val="both"/>
        <w:rPr>
          <w:rFonts w:cstheme="minorHAnsi"/>
          <w:color w:val="000000" w:themeColor="text1"/>
        </w:rPr>
      </w:pPr>
    </w:p>
    <w:p w14:paraId="4B4B40C0" w14:textId="61FCE848" w:rsidR="004C41FE" w:rsidRPr="00623CE8" w:rsidRDefault="004C41FE" w:rsidP="004C41FE">
      <w:pPr>
        <w:pStyle w:val="ListeParagraf"/>
        <w:numPr>
          <w:ilvl w:val="0"/>
          <w:numId w:val="3"/>
        </w:numPr>
        <w:ind w:left="284"/>
        <w:jc w:val="both"/>
        <w:rPr>
          <w:rFonts w:cstheme="minorHAnsi"/>
          <w:b/>
          <w:bCs/>
        </w:rPr>
      </w:pPr>
      <w:r w:rsidRPr="00623CE8">
        <w:rPr>
          <w:rFonts w:cstheme="minorHAnsi"/>
          <w:b/>
          <w:bCs/>
        </w:rPr>
        <w:t xml:space="preserve">Fuzuli İşgal Tarifesi </w:t>
      </w:r>
    </w:p>
    <w:tbl>
      <w:tblPr>
        <w:tblStyle w:val="TabloKlavuzu"/>
        <w:tblW w:w="0" w:type="auto"/>
        <w:tblInd w:w="-76" w:type="dxa"/>
        <w:tblLook w:val="04A0" w:firstRow="1" w:lastRow="0" w:firstColumn="1" w:lastColumn="0" w:noHBand="0" w:noVBand="1"/>
      </w:tblPr>
      <w:tblGrid>
        <w:gridCol w:w="1914"/>
        <w:gridCol w:w="3827"/>
        <w:gridCol w:w="3603"/>
      </w:tblGrid>
      <w:tr w:rsidR="004C41FE" w:rsidRPr="00623CE8" w14:paraId="39F760F6" w14:textId="77777777" w:rsidTr="00766864">
        <w:tc>
          <w:tcPr>
            <w:tcW w:w="1914" w:type="dxa"/>
            <w:vMerge w:val="restart"/>
            <w:shd w:val="clear" w:color="auto" w:fill="D9D9D9" w:themeFill="background1" w:themeFillShade="D9"/>
          </w:tcPr>
          <w:p w14:paraId="20FFE549" w14:textId="77777777" w:rsidR="004C41FE" w:rsidRPr="00623CE8" w:rsidRDefault="004C41FE" w:rsidP="00766864">
            <w:pPr>
              <w:jc w:val="center"/>
              <w:rPr>
                <w:rFonts w:cstheme="minorHAnsi"/>
                <w:b/>
                <w:bCs/>
              </w:rPr>
            </w:pPr>
            <w:r w:rsidRPr="00623CE8">
              <w:rPr>
                <w:rFonts w:cstheme="minorHAnsi"/>
                <w:b/>
                <w:bCs/>
              </w:rPr>
              <w:t xml:space="preserve">Gemi </w:t>
            </w:r>
          </w:p>
          <w:p w14:paraId="140BEBB4" w14:textId="77777777" w:rsidR="004C41FE" w:rsidRPr="00623CE8" w:rsidRDefault="004C41FE" w:rsidP="00766864">
            <w:pPr>
              <w:jc w:val="center"/>
              <w:rPr>
                <w:rFonts w:cstheme="minorHAnsi"/>
                <w:b/>
                <w:bCs/>
              </w:rPr>
            </w:pPr>
            <w:r w:rsidRPr="00623CE8">
              <w:rPr>
                <w:rFonts w:cstheme="minorHAnsi"/>
                <w:b/>
                <w:bCs/>
              </w:rPr>
              <w:t xml:space="preserve">GRT üzerinden hesaplanarak </w:t>
            </w:r>
          </w:p>
        </w:tc>
        <w:tc>
          <w:tcPr>
            <w:tcW w:w="7430" w:type="dxa"/>
            <w:gridSpan w:val="2"/>
          </w:tcPr>
          <w:p w14:paraId="285E0520" w14:textId="00B62880" w:rsidR="004C41FE" w:rsidRPr="00623CE8" w:rsidRDefault="004C41FE" w:rsidP="00766864">
            <w:pPr>
              <w:jc w:val="center"/>
              <w:rPr>
                <w:rFonts w:cstheme="minorHAnsi"/>
                <w:b/>
                <w:bCs/>
              </w:rPr>
            </w:pPr>
            <w:r w:rsidRPr="00623CE8">
              <w:rPr>
                <w:rFonts w:cstheme="minorHAnsi"/>
                <w:b/>
                <w:bCs/>
              </w:rPr>
              <w:t>SAAT VEYA KESRİ BAŞINA</w:t>
            </w:r>
          </w:p>
        </w:tc>
      </w:tr>
      <w:tr w:rsidR="004C41FE" w:rsidRPr="00623CE8" w14:paraId="76DA0D49" w14:textId="77777777" w:rsidTr="007E4B0C">
        <w:tc>
          <w:tcPr>
            <w:tcW w:w="1914" w:type="dxa"/>
            <w:vMerge/>
            <w:shd w:val="clear" w:color="auto" w:fill="D9D9D9" w:themeFill="background1" w:themeFillShade="D9"/>
          </w:tcPr>
          <w:p w14:paraId="624F8A04" w14:textId="77777777" w:rsidR="004C41FE" w:rsidRPr="00623CE8" w:rsidRDefault="004C41FE" w:rsidP="00766864">
            <w:pPr>
              <w:jc w:val="both"/>
              <w:rPr>
                <w:rFonts w:cstheme="minorHAnsi"/>
              </w:rPr>
            </w:pPr>
          </w:p>
        </w:tc>
        <w:tc>
          <w:tcPr>
            <w:tcW w:w="3827" w:type="dxa"/>
          </w:tcPr>
          <w:p w14:paraId="206EB4B0" w14:textId="77777777" w:rsidR="004C41FE" w:rsidRPr="00623CE8" w:rsidRDefault="004C41FE" w:rsidP="00766864">
            <w:pPr>
              <w:jc w:val="center"/>
              <w:rPr>
                <w:rFonts w:cstheme="minorHAnsi"/>
                <w:b/>
              </w:rPr>
            </w:pPr>
            <w:r w:rsidRPr="00623CE8">
              <w:rPr>
                <w:rFonts w:cstheme="minorHAnsi"/>
                <w:b/>
              </w:rPr>
              <w:t>Kabotaj Hattında Çalışan Gemiler</w:t>
            </w:r>
          </w:p>
          <w:p w14:paraId="521699BB" w14:textId="77777777" w:rsidR="004C41FE" w:rsidRPr="00623CE8" w:rsidRDefault="004C41FE" w:rsidP="00766864">
            <w:pPr>
              <w:jc w:val="center"/>
              <w:rPr>
                <w:rFonts w:cstheme="minorHAnsi"/>
                <w:b/>
              </w:rPr>
            </w:pPr>
            <w:r w:rsidRPr="00623CE8">
              <w:rPr>
                <w:rFonts w:cstheme="minorHAnsi"/>
                <w:b/>
              </w:rPr>
              <w:t xml:space="preserve">ABD </w:t>
            </w:r>
            <w:proofErr w:type="gramStart"/>
            <w:r w:rsidRPr="00623CE8">
              <w:rPr>
                <w:rFonts w:cstheme="minorHAnsi"/>
                <w:b/>
              </w:rPr>
              <w:t>Doları</w:t>
            </w:r>
            <w:proofErr w:type="gramEnd"/>
            <w:r w:rsidRPr="00623CE8">
              <w:rPr>
                <w:rFonts w:cstheme="minorHAnsi"/>
                <w:b/>
              </w:rPr>
              <w:t xml:space="preserve"> </w:t>
            </w:r>
          </w:p>
          <w:p w14:paraId="481473F3" w14:textId="77777777" w:rsidR="004C41FE" w:rsidRPr="00623CE8" w:rsidRDefault="004C41FE" w:rsidP="00766864">
            <w:pPr>
              <w:jc w:val="both"/>
              <w:rPr>
                <w:rFonts w:cstheme="minorHAnsi"/>
              </w:rPr>
            </w:pPr>
          </w:p>
        </w:tc>
        <w:tc>
          <w:tcPr>
            <w:tcW w:w="3603" w:type="dxa"/>
          </w:tcPr>
          <w:p w14:paraId="53B10306" w14:textId="77777777" w:rsidR="004C41FE" w:rsidRPr="00623CE8" w:rsidRDefault="004C41FE" w:rsidP="00766864">
            <w:pPr>
              <w:jc w:val="center"/>
              <w:rPr>
                <w:rFonts w:cstheme="minorHAnsi"/>
                <w:b/>
              </w:rPr>
            </w:pPr>
            <w:r w:rsidRPr="00623CE8">
              <w:rPr>
                <w:rFonts w:cstheme="minorHAnsi"/>
                <w:b/>
              </w:rPr>
              <w:t>Diğer Yük Gemileri</w:t>
            </w:r>
          </w:p>
          <w:p w14:paraId="48CDDD8A" w14:textId="77777777" w:rsidR="004C41FE" w:rsidRPr="00623CE8" w:rsidRDefault="004C41FE" w:rsidP="00766864">
            <w:pPr>
              <w:jc w:val="center"/>
              <w:rPr>
                <w:rFonts w:cstheme="minorHAnsi"/>
                <w:b/>
              </w:rPr>
            </w:pPr>
            <w:r w:rsidRPr="00623CE8">
              <w:rPr>
                <w:rFonts w:cstheme="minorHAnsi"/>
                <w:b/>
              </w:rPr>
              <w:t xml:space="preserve">ABD </w:t>
            </w:r>
            <w:proofErr w:type="gramStart"/>
            <w:r w:rsidRPr="00623CE8">
              <w:rPr>
                <w:rFonts w:cstheme="minorHAnsi"/>
                <w:b/>
              </w:rPr>
              <w:t>Doları</w:t>
            </w:r>
            <w:proofErr w:type="gramEnd"/>
            <w:r w:rsidRPr="00623CE8">
              <w:rPr>
                <w:rFonts w:cstheme="minorHAnsi"/>
                <w:b/>
              </w:rPr>
              <w:t xml:space="preserve"> </w:t>
            </w:r>
          </w:p>
          <w:p w14:paraId="1CB8C13D" w14:textId="77777777" w:rsidR="004C41FE" w:rsidRPr="00623CE8" w:rsidRDefault="004C41FE" w:rsidP="00766864">
            <w:pPr>
              <w:jc w:val="both"/>
              <w:rPr>
                <w:rFonts w:cstheme="minorHAnsi"/>
              </w:rPr>
            </w:pPr>
          </w:p>
        </w:tc>
      </w:tr>
      <w:tr w:rsidR="004C41FE" w:rsidRPr="00623CE8" w14:paraId="7A8DCF35" w14:textId="77777777" w:rsidTr="007E4B0C">
        <w:tc>
          <w:tcPr>
            <w:tcW w:w="1914" w:type="dxa"/>
            <w:shd w:val="clear" w:color="auto" w:fill="D9D9D9" w:themeFill="background1" w:themeFillShade="D9"/>
          </w:tcPr>
          <w:p w14:paraId="263C9857" w14:textId="77777777" w:rsidR="004C41FE" w:rsidRPr="00623CE8" w:rsidRDefault="004C41FE" w:rsidP="00766864">
            <w:pPr>
              <w:jc w:val="both"/>
              <w:rPr>
                <w:rFonts w:cstheme="minorHAnsi"/>
              </w:rPr>
            </w:pPr>
            <w:r w:rsidRPr="00623CE8">
              <w:rPr>
                <w:rFonts w:cstheme="minorHAnsi"/>
              </w:rPr>
              <w:t>0 – 1000</w:t>
            </w:r>
          </w:p>
        </w:tc>
        <w:tc>
          <w:tcPr>
            <w:tcW w:w="3827" w:type="dxa"/>
          </w:tcPr>
          <w:p w14:paraId="7DAD0DF4" w14:textId="47A56E3C" w:rsidR="004C41FE" w:rsidRPr="00623CE8" w:rsidRDefault="000631F6" w:rsidP="00766864">
            <w:pPr>
              <w:jc w:val="center"/>
              <w:rPr>
                <w:rFonts w:cstheme="minorHAnsi"/>
              </w:rPr>
            </w:pPr>
            <w:r>
              <w:rPr>
                <w:rFonts w:cstheme="minorHAnsi"/>
              </w:rPr>
              <w:t>20</w:t>
            </w:r>
          </w:p>
        </w:tc>
        <w:tc>
          <w:tcPr>
            <w:tcW w:w="3603" w:type="dxa"/>
          </w:tcPr>
          <w:p w14:paraId="72FD4D5D" w14:textId="571CEC6F" w:rsidR="004C41FE" w:rsidRPr="00623CE8" w:rsidRDefault="007E4B0C" w:rsidP="00766864">
            <w:pPr>
              <w:jc w:val="center"/>
              <w:rPr>
                <w:rFonts w:cstheme="minorHAnsi"/>
              </w:rPr>
            </w:pPr>
            <w:r w:rsidRPr="00623CE8">
              <w:rPr>
                <w:rFonts w:cstheme="minorHAnsi"/>
              </w:rPr>
              <w:t>30</w:t>
            </w:r>
          </w:p>
        </w:tc>
      </w:tr>
      <w:tr w:rsidR="004C41FE" w:rsidRPr="00623CE8" w14:paraId="267EA38F" w14:textId="77777777" w:rsidTr="007E4B0C">
        <w:tc>
          <w:tcPr>
            <w:tcW w:w="1914" w:type="dxa"/>
            <w:shd w:val="clear" w:color="auto" w:fill="D9D9D9" w:themeFill="background1" w:themeFillShade="D9"/>
          </w:tcPr>
          <w:p w14:paraId="2D533026" w14:textId="77777777" w:rsidR="004C41FE" w:rsidRPr="00623CE8" w:rsidRDefault="004C41FE" w:rsidP="00766864">
            <w:pPr>
              <w:jc w:val="both"/>
              <w:rPr>
                <w:rFonts w:cstheme="minorHAnsi"/>
              </w:rPr>
            </w:pPr>
            <w:r w:rsidRPr="00623CE8">
              <w:rPr>
                <w:rFonts w:cstheme="minorHAnsi"/>
              </w:rPr>
              <w:t xml:space="preserve">1001 ve üzeri </w:t>
            </w:r>
          </w:p>
        </w:tc>
        <w:tc>
          <w:tcPr>
            <w:tcW w:w="3827" w:type="dxa"/>
          </w:tcPr>
          <w:p w14:paraId="6B6ADA13" w14:textId="5BE66B44" w:rsidR="004C41FE" w:rsidRPr="00623CE8" w:rsidRDefault="004C41FE" w:rsidP="00766864">
            <w:pPr>
              <w:jc w:val="both"/>
              <w:rPr>
                <w:rFonts w:cstheme="minorHAnsi"/>
              </w:rPr>
            </w:pPr>
            <w:r w:rsidRPr="00623CE8">
              <w:rPr>
                <w:rFonts w:cstheme="minorHAnsi"/>
              </w:rPr>
              <w:t xml:space="preserve">1.000 GRT ve kesri başına </w:t>
            </w:r>
            <w:r w:rsidR="000631F6">
              <w:rPr>
                <w:rFonts w:cstheme="minorHAnsi"/>
              </w:rPr>
              <w:t>20</w:t>
            </w:r>
            <w:r w:rsidRPr="00623CE8">
              <w:rPr>
                <w:rFonts w:cstheme="minorHAnsi"/>
              </w:rPr>
              <w:t xml:space="preserve"> ABD </w:t>
            </w:r>
            <w:proofErr w:type="gramStart"/>
            <w:r w:rsidRPr="00623CE8">
              <w:rPr>
                <w:rFonts w:cstheme="minorHAnsi"/>
              </w:rPr>
              <w:t>Doları</w:t>
            </w:r>
            <w:proofErr w:type="gramEnd"/>
            <w:r w:rsidRPr="00623CE8">
              <w:rPr>
                <w:rFonts w:cstheme="minorHAnsi"/>
              </w:rPr>
              <w:t xml:space="preserve"> artış </w:t>
            </w:r>
          </w:p>
        </w:tc>
        <w:tc>
          <w:tcPr>
            <w:tcW w:w="3603" w:type="dxa"/>
          </w:tcPr>
          <w:p w14:paraId="7D3CF48C" w14:textId="524F94AB" w:rsidR="004C41FE" w:rsidRPr="00623CE8" w:rsidRDefault="004C41FE" w:rsidP="00766864">
            <w:pPr>
              <w:jc w:val="both"/>
              <w:rPr>
                <w:rFonts w:cstheme="minorHAnsi"/>
              </w:rPr>
            </w:pPr>
            <w:r w:rsidRPr="00623CE8">
              <w:rPr>
                <w:rFonts w:cstheme="minorHAnsi"/>
              </w:rPr>
              <w:t xml:space="preserve">1.000 GRT ve kesri başına </w:t>
            </w:r>
            <w:r w:rsidR="007E4B0C" w:rsidRPr="00623CE8">
              <w:rPr>
                <w:rFonts w:cstheme="minorHAnsi"/>
              </w:rPr>
              <w:t>3</w:t>
            </w:r>
            <w:r w:rsidRPr="00623CE8">
              <w:rPr>
                <w:rFonts w:cstheme="minorHAnsi"/>
              </w:rPr>
              <w:t xml:space="preserve">0 ABD </w:t>
            </w:r>
            <w:proofErr w:type="gramStart"/>
            <w:r w:rsidRPr="00623CE8">
              <w:rPr>
                <w:rFonts w:cstheme="minorHAnsi"/>
              </w:rPr>
              <w:t>Doları</w:t>
            </w:r>
            <w:proofErr w:type="gramEnd"/>
            <w:r w:rsidRPr="00623CE8">
              <w:rPr>
                <w:rFonts w:cstheme="minorHAnsi"/>
              </w:rPr>
              <w:t xml:space="preserve"> artış</w:t>
            </w:r>
          </w:p>
        </w:tc>
      </w:tr>
    </w:tbl>
    <w:p w14:paraId="1D47F2D8" w14:textId="77777777" w:rsidR="00706CEC" w:rsidRPr="0048371C" w:rsidRDefault="00706CEC" w:rsidP="0048371C">
      <w:pPr>
        <w:tabs>
          <w:tab w:val="left" w:pos="567"/>
        </w:tabs>
        <w:jc w:val="both"/>
        <w:rPr>
          <w:rFonts w:cstheme="minorHAnsi"/>
          <w:color w:val="000000" w:themeColor="text1"/>
        </w:rPr>
      </w:pPr>
    </w:p>
    <w:p w14:paraId="41215119" w14:textId="73A91801" w:rsidR="00517E69" w:rsidRPr="00623CE8" w:rsidRDefault="00517E69" w:rsidP="00E845A1">
      <w:pPr>
        <w:pStyle w:val="ListeParagraf"/>
        <w:numPr>
          <w:ilvl w:val="0"/>
          <w:numId w:val="3"/>
        </w:numPr>
        <w:ind w:left="284"/>
        <w:jc w:val="both"/>
        <w:rPr>
          <w:rFonts w:cstheme="minorHAnsi"/>
          <w:b/>
          <w:bCs/>
        </w:rPr>
      </w:pPr>
      <w:r w:rsidRPr="00623CE8">
        <w:rPr>
          <w:rFonts w:cstheme="minorHAnsi"/>
          <w:b/>
          <w:bCs/>
        </w:rPr>
        <w:t xml:space="preserve">Barınma İşgaliye Tarifesi </w:t>
      </w:r>
    </w:p>
    <w:tbl>
      <w:tblPr>
        <w:tblStyle w:val="TabloKlavuzu"/>
        <w:tblW w:w="0" w:type="auto"/>
        <w:tblInd w:w="-76" w:type="dxa"/>
        <w:tblLook w:val="04A0" w:firstRow="1" w:lastRow="0" w:firstColumn="1" w:lastColumn="0" w:noHBand="0" w:noVBand="1"/>
      </w:tblPr>
      <w:tblGrid>
        <w:gridCol w:w="1914"/>
        <w:gridCol w:w="3686"/>
        <w:gridCol w:w="3744"/>
      </w:tblGrid>
      <w:tr w:rsidR="00517E69" w:rsidRPr="00623CE8" w14:paraId="7AE57CA6" w14:textId="77777777" w:rsidTr="00ED2DA4">
        <w:tc>
          <w:tcPr>
            <w:tcW w:w="1914" w:type="dxa"/>
            <w:vMerge w:val="restart"/>
            <w:shd w:val="clear" w:color="auto" w:fill="D9D9D9" w:themeFill="background1" w:themeFillShade="D9"/>
          </w:tcPr>
          <w:p w14:paraId="6BEEAF2C" w14:textId="77777777" w:rsidR="00517E69" w:rsidRPr="00623CE8" w:rsidRDefault="00517E69" w:rsidP="00ED2DA4">
            <w:pPr>
              <w:jc w:val="center"/>
              <w:rPr>
                <w:rFonts w:cstheme="minorHAnsi"/>
                <w:b/>
                <w:bCs/>
              </w:rPr>
            </w:pPr>
            <w:r w:rsidRPr="00623CE8">
              <w:rPr>
                <w:rFonts w:cstheme="minorHAnsi"/>
                <w:b/>
                <w:bCs/>
              </w:rPr>
              <w:t xml:space="preserve">Gemi </w:t>
            </w:r>
          </w:p>
          <w:p w14:paraId="3EC31455" w14:textId="77777777" w:rsidR="00517E69" w:rsidRPr="00623CE8" w:rsidRDefault="00517E69" w:rsidP="00ED2DA4">
            <w:pPr>
              <w:jc w:val="center"/>
              <w:rPr>
                <w:rFonts w:cstheme="minorHAnsi"/>
                <w:b/>
                <w:bCs/>
              </w:rPr>
            </w:pPr>
            <w:r w:rsidRPr="00623CE8">
              <w:rPr>
                <w:rFonts w:cstheme="minorHAnsi"/>
                <w:b/>
                <w:bCs/>
              </w:rPr>
              <w:t xml:space="preserve">GRT üzerinden hesaplanarak </w:t>
            </w:r>
          </w:p>
        </w:tc>
        <w:tc>
          <w:tcPr>
            <w:tcW w:w="7430" w:type="dxa"/>
            <w:gridSpan w:val="2"/>
          </w:tcPr>
          <w:p w14:paraId="5CEFE9B4" w14:textId="436989E9" w:rsidR="00517E69" w:rsidRPr="00623CE8" w:rsidRDefault="00517E69" w:rsidP="00ED2DA4">
            <w:pPr>
              <w:jc w:val="center"/>
              <w:rPr>
                <w:rFonts w:cstheme="minorHAnsi"/>
                <w:b/>
                <w:bCs/>
              </w:rPr>
            </w:pPr>
            <w:r w:rsidRPr="00623CE8">
              <w:rPr>
                <w:rFonts w:cstheme="minorHAnsi"/>
                <w:b/>
                <w:bCs/>
              </w:rPr>
              <w:t>GÜN BAŞINA</w:t>
            </w:r>
            <w:r w:rsidR="00706CEC" w:rsidRPr="00623CE8">
              <w:rPr>
                <w:rFonts w:cstheme="minorHAnsi"/>
                <w:b/>
                <w:bCs/>
              </w:rPr>
              <w:t xml:space="preserve"> BARINMA İŞGALİ</w:t>
            </w:r>
          </w:p>
        </w:tc>
      </w:tr>
      <w:tr w:rsidR="00517E69" w:rsidRPr="00623CE8" w14:paraId="429877E6" w14:textId="77777777" w:rsidTr="00706CEC">
        <w:tc>
          <w:tcPr>
            <w:tcW w:w="1914" w:type="dxa"/>
            <w:vMerge/>
            <w:shd w:val="clear" w:color="auto" w:fill="D9D9D9" w:themeFill="background1" w:themeFillShade="D9"/>
          </w:tcPr>
          <w:p w14:paraId="50EBD979" w14:textId="77777777" w:rsidR="00517E69" w:rsidRPr="00623CE8" w:rsidRDefault="00517E69" w:rsidP="00ED2DA4">
            <w:pPr>
              <w:jc w:val="both"/>
              <w:rPr>
                <w:rFonts w:cstheme="minorHAnsi"/>
              </w:rPr>
            </w:pPr>
          </w:p>
        </w:tc>
        <w:tc>
          <w:tcPr>
            <w:tcW w:w="3686" w:type="dxa"/>
          </w:tcPr>
          <w:p w14:paraId="0302E9D3" w14:textId="77777777" w:rsidR="00517E69" w:rsidRPr="00623CE8" w:rsidRDefault="00517E69" w:rsidP="00ED2DA4">
            <w:pPr>
              <w:jc w:val="center"/>
              <w:rPr>
                <w:rFonts w:cstheme="minorHAnsi"/>
                <w:b/>
              </w:rPr>
            </w:pPr>
            <w:r w:rsidRPr="00623CE8">
              <w:rPr>
                <w:rFonts w:cstheme="minorHAnsi"/>
                <w:b/>
              </w:rPr>
              <w:t>Kabotaj Hattında Çalışan Gemiler</w:t>
            </w:r>
          </w:p>
          <w:p w14:paraId="6B434087" w14:textId="31982BCF" w:rsidR="00517E69" w:rsidRPr="00623CE8" w:rsidRDefault="00517E69" w:rsidP="00706CEC">
            <w:pPr>
              <w:jc w:val="center"/>
              <w:rPr>
                <w:rFonts w:cstheme="minorHAnsi"/>
                <w:b/>
              </w:rPr>
            </w:pPr>
            <w:r w:rsidRPr="00623CE8">
              <w:rPr>
                <w:rFonts w:cstheme="minorHAnsi"/>
                <w:b/>
              </w:rPr>
              <w:t xml:space="preserve">ABD </w:t>
            </w:r>
            <w:proofErr w:type="gramStart"/>
            <w:r w:rsidRPr="00623CE8">
              <w:rPr>
                <w:rFonts w:cstheme="minorHAnsi"/>
                <w:b/>
              </w:rPr>
              <w:t>Doları</w:t>
            </w:r>
            <w:proofErr w:type="gramEnd"/>
            <w:r w:rsidRPr="00623CE8">
              <w:rPr>
                <w:rFonts w:cstheme="minorHAnsi"/>
                <w:b/>
              </w:rPr>
              <w:t xml:space="preserve"> </w:t>
            </w:r>
          </w:p>
        </w:tc>
        <w:tc>
          <w:tcPr>
            <w:tcW w:w="3744" w:type="dxa"/>
          </w:tcPr>
          <w:p w14:paraId="0E0F6A51" w14:textId="77777777" w:rsidR="00517E69" w:rsidRPr="00623CE8" w:rsidRDefault="00517E69" w:rsidP="00ED2DA4">
            <w:pPr>
              <w:jc w:val="center"/>
              <w:rPr>
                <w:rFonts w:cstheme="minorHAnsi"/>
                <w:b/>
              </w:rPr>
            </w:pPr>
            <w:r w:rsidRPr="00623CE8">
              <w:rPr>
                <w:rFonts w:cstheme="minorHAnsi"/>
                <w:b/>
              </w:rPr>
              <w:t>Diğer Yük Gemileri</w:t>
            </w:r>
          </w:p>
          <w:p w14:paraId="006E4EDE" w14:textId="77777777" w:rsidR="00517E69" w:rsidRPr="00623CE8" w:rsidRDefault="00517E69" w:rsidP="00ED2DA4">
            <w:pPr>
              <w:jc w:val="center"/>
              <w:rPr>
                <w:rFonts w:cstheme="minorHAnsi"/>
                <w:b/>
              </w:rPr>
            </w:pPr>
            <w:r w:rsidRPr="00623CE8">
              <w:rPr>
                <w:rFonts w:cstheme="minorHAnsi"/>
                <w:b/>
              </w:rPr>
              <w:t xml:space="preserve">ABD </w:t>
            </w:r>
            <w:proofErr w:type="gramStart"/>
            <w:r w:rsidRPr="00623CE8">
              <w:rPr>
                <w:rFonts w:cstheme="minorHAnsi"/>
                <w:b/>
              </w:rPr>
              <w:t>Doları</w:t>
            </w:r>
            <w:proofErr w:type="gramEnd"/>
            <w:r w:rsidRPr="00623CE8">
              <w:rPr>
                <w:rFonts w:cstheme="minorHAnsi"/>
                <w:b/>
              </w:rPr>
              <w:t xml:space="preserve"> </w:t>
            </w:r>
          </w:p>
          <w:p w14:paraId="22D438EC" w14:textId="77777777" w:rsidR="00517E69" w:rsidRPr="00623CE8" w:rsidRDefault="00517E69" w:rsidP="00ED2DA4">
            <w:pPr>
              <w:jc w:val="both"/>
              <w:rPr>
                <w:rFonts w:cstheme="minorHAnsi"/>
              </w:rPr>
            </w:pPr>
          </w:p>
        </w:tc>
      </w:tr>
      <w:tr w:rsidR="00517E69" w:rsidRPr="00623CE8" w14:paraId="391AB449" w14:textId="77777777" w:rsidTr="00706CEC">
        <w:tc>
          <w:tcPr>
            <w:tcW w:w="1914" w:type="dxa"/>
            <w:shd w:val="clear" w:color="auto" w:fill="D9D9D9" w:themeFill="background1" w:themeFillShade="D9"/>
          </w:tcPr>
          <w:p w14:paraId="6E3C8071" w14:textId="77777777" w:rsidR="00517E69" w:rsidRPr="00623CE8" w:rsidRDefault="00517E69" w:rsidP="00ED2DA4">
            <w:pPr>
              <w:jc w:val="both"/>
              <w:rPr>
                <w:rFonts w:cstheme="minorHAnsi"/>
              </w:rPr>
            </w:pPr>
            <w:r w:rsidRPr="00623CE8">
              <w:rPr>
                <w:rFonts w:cstheme="minorHAnsi"/>
              </w:rPr>
              <w:t>0 – 1000</w:t>
            </w:r>
          </w:p>
        </w:tc>
        <w:tc>
          <w:tcPr>
            <w:tcW w:w="3686" w:type="dxa"/>
          </w:tcPr>
          <w:p w14:paraId="221854F5" w14:textId="71A3DE98" w:rsidR="00517E69" w:rsidRPr="00623CE8" w:rsidRDefault="000631F6" w:rsidP="00ED2DA4">
            <w:pPr>
              <w:jc w:val="center"/>
              <w:rPr>
                <w:rFonts w:cstheme="minorHAnsi"/>
              </w:rPr>
            </w:pPr>
            <w:r>
              <w:rPr>
                <w:rFonts w:cstheme="minorHAnsi"/>
              </w:rPr>
              <w:t>500</w:t>
            </w:r>
          </w:p>
        </w:tc>
        <w:tc>
          <w:tcPr>
            <w:tcW w:w="3744" w:type="dxa"/>
          </w:tcPr>
          <w:p w14:paraId="1A7FEFAE" w14:textId="36DB09D1" w:rsidR="00517E69" w:rsidRPr="00623CE8" w:rsidRDefault="000631F6" w:rsidP="00ED2DA4">
            <w:pPr>
              <w:jc w:val="center"/>
              <w:rPr>
                <w:rFonts w:cstheme="minorHAnsi"/>
              </w:rPr>
            </w:pPr>
            <w:r>
              <w:rPr>
                <w:rFonts w:cstheme="minorHAnsi"/>
              </w:rPr>
              <w:t>1.0</w:t>
            </w:r>
            <w:r w:rsidR="00517E69" w:rsidRPr="00623CE8">
              <w:rPr>
                <w:rFonts w:cstheme="minorHAnsi"/>
              </w:rPr>
              <w:t>00</w:t>
            </w:r>
          </w:p>
        </w:tc>
      </w:tr>
      <w:tr w:rsidR="00517E69" w:rsidRPr="00623CE8" w14:paraId="31EC3F61" w14:textId="77777777" w:rsidTr="00706CEC">
        <w:tc>
          <w:tcPr>
            <w:tcW w:w="1914" w:type="dxa"/>
            <w:shd w:val="clear" w:color="auto" w:fill="D9D9D9" w:themeFill="background1" w:themeFillShade="D9"/>
          </w:tcPr>
          <w:p w14:paraId="508338B3" w14:textId="77777777" w:rsidR="00517E69" w:rsidRPr="00623CE8" w:rsidRDefault="00517E69" w:rsidP="00ED2DA4">
            <w:pPr>
              <w:jc w:val="both"/>
              <w:rPr>
                <w:rFonts w:cstheme="minorHAnsi"/>
              </w:rPr>
            </w:pPr>
            <w:r w:rsidRPr="00623CE8">
              <w:rPr>
                <w:rFonts w:cstheme="minorHAnsi"/>
              </w:rPr>
              <w:t xml:space="preserve">1001 ve üzeri </w:t>
            </w:r>
          </w:p>
        </w:tc>
        <w:tc>
          <w:tcPr>
            <w:tcW w:w="3686" w:type="dxa"/>
          </w:tcPr>
          <w:p w14:paraId="5522FF3F" w14:textId="20AB6B16" w:rsidR="00517E69" w:rsidRPr="00623CE8" w:rsidRDefault="00517E69" w:rsidP="00ED2DA4">
            <w:pPr>
              <w:jc w:val="both"/>
              <w:rPr>
                <w:rFonts w:cstheme="minorHAnsi"/>
              </w:rPr>
            </w:pPr>
            <w:r w:rsidRPr="00623CE8">
              <w:rPr>
                <w:rFonts w:cstheme="minorHAnsi"/>
              </w:rPr>
              <w:t xml:space="preserve">1.000 GRT ve kesri başına </w:t>
            </w:r>
            <w:r w:rsidR="00706CEC" w:rsidRPr="00623CE8">
              <w:rPr>
                <w:rFonts w:cstheme="minorHAnsi"/>
              </w:rPr>
              <w:t>2</w:t>
            </w:r>
            <w:r w:rsidRPr="00623CE8">
              <w:rPr>
                <w:rFonts w:cstheme="minorHAnsi"/>
              </w:rPr>
              <w:t>5</w:t>
            </w:r>
            <w:r w:rsidR="00706CEC" w:rsidRPr="00623CE8">
              <w:rPr>
                <w:rFonts w:cstheme="minorHAnsi"/>
              </w:rPr>
              <w:t>0</w:t>
            </w:r>
            <w:r w:rsidRPr="00623CE8">
              <w:rPr>
                <w:rFonts w:cstheme="minorHAnsi"/>
              </w:rPr>
              <w:t xml:space="preserve"> ABD </w:t>
            </w:r>
            <w:proofErr w:type="gramStart"/>
            <w:r w:rsidRPr="00623CE8">
              <w:rPr>
                <w:rFonts w:cstheme="minorHAnsi"/>
              </w:rPr>
              <w:t>Doları</w:t>
            </w:r>
            <w:proofErr w:type="gramEnd"/>
            <w:r w:rsidRPr="00623CE8">
              <w:rPr>
                <w:rFonts w:cstheme="minorHAnsi"/>
              </w:rPr>
              <w:t xml:space="preserve"> artış </w:t>
            </w:r>
          </w:p>
        </w:tc>
        <w:tc>
          <w:tcPr>
            <w:tcW w:w="3744" w:type="dxa"/>
          </w:tcPr>
          <w:p w14:paraId="3AA6F405" w14:textId="14D73E64" w:rsidR="00517E69" w:rsidRPr="00623CE8" w:rsidRDefault="00517E69" w:rsidP="00ED2DA4">
            <w:pPr>
              <w:jc w:val="both"/>
              <w:rPr>
                <w:rFonts w:cstheme="minorHAnsi"/>
              </w:rPr>
            </w:pPr>
            <w:r w:rsidRPr="00623CE8">
              <w:rPr>
                <w:rFonts w:cstheme="minorHAnsi"/>
              </w:rPr>
              <w:t xml:space="preserve">1.000 GRT ve kesri başına </w:t>
            </w:r>
            <w:r w:rsidR="00706CEC" w:rsidRPr="00623CE8">
              <w:rPr>
                <w:rFonts w:cstheme="minorHAnsi"/>
              </w:rPr>
              <w:t>50</w:t>
            </w:r>
            <w:r w:rsidRPr="00623CE8">
              <w:rPr>
                <w:rFonts w:cstheme="minorHAnsi"/>
              </w:rPr>
              <w:t xml:space="preserve">0 ABD </w:t>
            </w:r>
            <w:proofErr w:type="gramStart"/>
            <w:r w:rsidRPr="00623CE8">
              <w:rPr>
                <w:rFonts w:cstheme="minorHAnsi"/>
              </w:rPr>
              <w:t>Doları</w:t>
            </w:r>
            <w:proofErr w:type="gramEnd"/>
            <w:r w:rsidRPr="00623CE8">
              <w:rPr>
                <w:rFonts w:cstheme="minorHAnsi"/>
              </w:rPr>
              <w:t xml:space="preserve"> artış</w:t>
            </w:r>
          </w:p>
        </w:tc>
      </w:tr>
    </w:tbl>
    <w:p w14:paraId="71F2CD29" w14:textId="368B816F" w:rsidR="00417110" w:rsidRPr="00623CE8" w:rsidRDefault="00706CEC" w:rsidP="00417110">
      <w:pPr>
        <w:pStyle w:val="ListeParagraf"/>
        <w:numPr>
          <w:ilvl w:val="1"/>
          <w:numId w:val="3"/>
        </w:numPr>
        <w:tabs>
          <w:tab w:val="left" w:pos="567"/>
        </w:tabs>
        <w:ind w:left="284" w:hanging="284"/>
        <w:jc w:val="both"/>
        <w:rPr>
          <w:rFonts w:cstheme="minorHAnsi"/>
          <w:color w:val="000000" w:themeColor="text1"/>
        </w:rPr>
      </w:pPr>
      <w:r w:rsidRPr="00623CE8">
        <w:rPr>
          <w:rFonts w:cstheme="minorHAnsi"/>
          <w:color w:val="000000" w:themeColor="text1"/>
        </w:rPr>
        <w:t>Barınma İşgaliye, Eti Bakır iskelesinde yükleme ve/veya boşaltma yapmaksızın</w:t>
      </w:r>
      <w:r w:rsidR="000631F6">
        <w:rPr>
          <w:rFonts w:cstheme="minorHAnsi"/>
          <w:color w:val="000000" w:themeColor="text1"/>
        </w:rPr>
        <w:t>, liman müsait ise</w:t>
      </w:r>
      <w:r w:rsidRPr="00623CE8">
        <w:rPr>
          <w:rFonts w:cstheme="minorHAnsi"/>
          <w:color w:val="000000" w:themeColor="text1"/>
        </w:rPr>
        <w:t xml:space="preserve"> barınma amacıyla yanaşan gemilerden alınan barınma hizmet bedelidir. </w:t>
      </w:r>
    </w:p>
    <w:p w14:paraId="66083FD2" w14:textId="1CFF9C09" w:rsidR="00CE6603" w:rsidRPr="0048371C" w:rsidRDefault="00417110" w:rsidP="0048371C">
      <w:pPr>
        <w:pStyle w:val="ListeParagraf"/>
        <w:numPr>
          <w:ilvl w:val="1"/>
          <w:numId w:val="3"/>
        </w:numPr>
        <w:tabs>
          <w:tab w:val="left" w:pos="567"/>
        </w:tabs>
        <w:ind w:left="284" w:hanging="284"/>
        <w:jc w:val="both"/>
        <w:rPr>
          <w:rFonts w:cstheme="minorHAnsi"/>
          <w:color w:val="000000" w:themeColor="text1"/>
        </w:rPr>
      </w:pPr>
      <w:r w:rsidRPr="00623CE8">
        <w:rPr>
          <w:rFonts w:cstheme="minorHAnsi"/>
        </w:rPr>
        <w:t xml:space="preserve">Bu </w:t>
      </w:r>
      <w:r w:rsidR="004D0FB8" w:rsidRPr="00623CE8">
        <w:rPr>
          <w:rFonts w:cstheme="minorHAnsi"/>
        </w:rPr>
        <w:t xml:space="preserve">madde kapsamındaki </w:t>
      </w:r>
      <w:r w:rsidRPr="00623CE8">
        <w:rPr>
          <w:rFonts w:cstheme="minorHAnsi"/>
        </w:rPr>
        <w:t xml:space="preserve">hizmet bedeli peşin ödenir.  </w:t>
      </w:r>
    </w:p>
    <w:p w14:paraId="0611F3D6" w14:textId="77777777" w:rsidR="00B5130E" w:rsidRPr="00623CE8" w:rsidRDefault="00B5130E" w:rsidP="00CE6603">
      <w:pPr>
        <w:pStyle w:val="ListeParagraf"/>
        <w:tabs>
          <w:tab w:val="left" w:pos="567"/>
        </w:tabs>
        <w:ind w:left="284"/>
        <w:jc w:val="both"/>
        <w:rPr>
          <w:rFonts w:cstheme="minorHAnsi"/>
        </w:rPr>
      </w:pPr>
    </w:p>
    <w:p w14:paraId="6D97FF0D" w14:textId="3E0FC84D" w:rsidR="00B84963" w:rsidRPr="00623CE8" w:rsidRDefault="00B84963" w:rsidP="00D4262A">
      <w:pPr>
        <w:pStyle w:val="ListeParagraf"/>
        <w:numPr>
          <w:ilvl w:val="0"/>
          <w:numId w:val="3"/>
        </w:numPr>
        <w:tabs>
          <w:tab w:val="left" w:pos="567"/>
        </w:tabs>
        <w:ind w:left="284"/>
        <w:jc w:val="both"/>
        <w:rPr>
          <w:rFonts w:cstheme="minorHAnsi"/>
          <w:b/>
          <w:bCs/>
        </w:rPr>
      </w:pPr>
      <w:r w:rsidRPr="00623CE8">
        <w:rPr>
          <w:rFonts w:cstheme="minorHAnsi"/>
          <w:b/>
          <w:bCs/>
        </w:rPr>
        <w:t xml:space="preserve">ISPS Kod Ücreti </w:t>
      </w:r>
    </w:p>
    <w:p w14:paraId="58F89666" w14:textId="1511BEBE" w:rsidR="00CE6603" w:rsidRDefault="00B84963" w:rsidP="0048371C">
      <w:pPr>
        <w:ind w:left="-76"/>
        <w:jc w:val="both"/>
        <w:rPr>
          <w:rFonts w:cstheme="minorHAnsi"/>
        </w:rPr>
      </w:pPr>
      <w:r w:rsidRPr="00623CE8">
        <w:rPr>
          <w:rFonts w:cstheme="minorHAnsi"/>
        </w:rPr>
        <w:t>Eti Bakır A.Ş. Samsun Limanı’nda ISPS Kod kapsamında bir ücretlendirme yapılmamaktadır.</w:t>
      </w:r>
      <w:r w:rsidR="00AA6A4A" w:rsidRPr="00623CE8">
        <w:rPr>
          <w:rFonts w:cstheme="minorHAnsi"/>
        </w:rPr>
        <w:t xml:space="preserve"> </w:t>
      </w:r>
    </w:p>
    <w:p w14:paraId="500DD59F" w14:textId="2011CEF2" w:rsidR="00EE0C6F" w:rsidRPr="00623CE8" w:rsidRDefault="00EE0C6F" w:rsidP="00EE0C6F">
      <w:pPr>
        <w:pStyle w:val="ListeParagraf"/>
        <w:numPr>
          <w:ilvl w:val="0"/>
          <w:numId w:val="3"/>
        </w:numPr>
        <w:tabs>
          <w:tab w:val="left" w:pos="567"/>
        </w:tabs>
        <w:ind w:left="284"/>
        <w:jc w:val="both"/>
        <w:rPr>
          <w:rFonts w:cstheme="minorHAnsi"/>
          <w:b/>
          <w:bCs/>
        </w:rPr>
      </w:pPr>
      <w:r w:rsidRPr="00623CE8">
        <w:rPr>
          <w:rFonts w:cstheme="minorHAnsi"/>
          <w:b/>
          <w:bCs/>
        </w:rPr>
        <w:t xml:space="preserve">Diğer Hususlar </w:t>
      </w:r>
    </w:p>
    <w:p w14:paraId="2EE8B956" w14:textId="77777777" w:rsidR="00EE0C6F" w:rsidRPr="00623CE8" w:rsidRDefault="00EE0C6F" w:rsidP="00EE0C6F">
      <w:pPr>
        <w:pStyle w:val="ListeParagraf"/>
        <w:numPr>
          <w:ilvl w:val="1"/>
          <w:numId w:val="3"/>
        </w:numPr>
        <w:tabs>
          <w:tab w:val="left" w:pos="567"/>
        </w:tabs>
        <w:ind w:left="284"/>
        <w:jc w:val="both"/>
        <w:rPr>
          <w:rFonts w:cstheme="minorHAnsi"/>
        </w:rPr>
      </w:pPr>
      <w:r w:rsidRPr="00623CE8">
        <w:rPr>
          <w:rFonts w:cstheme="minorHAnsi"/>
        </w:rPr>
        <w:t xml:space="preserve">Türk bayraklı okul, harp ve kamu kurum / kuruluşlarına ait araştırma gemileri ve deniz araçları işbu tarife kapsamı dışındadır. </w:t>
      </w:r>
    </w:p>
    <w:p w14:paraId="083F7791" w14:textId="77777777" w:rsidR="00EE0C6F" w:rsidRPr="00623CE8" w:rsidRDefault="00EE0C6F" w:rsidP="00EE0C6F">
      <w:pPr>
        <w:pStyle w:val="ListeParagraf"/>
        <w:numPr>
          <w:ilvl w:val="1"/>
          <w:numId w:val="3"/>
        </w:numPr>
        <w:tabs>
          <w:tab w:val="left" w:pos="567"/>
        </w:tabs>
        <w:ind w:left="284"/>
        <w:jc w:val="both"/>
        <w:rPr>
          <w:rFonts w:cstheme="minorHAnsi"/>
        </w:rPr>
      </w:pPr>
      <w:r w:rsidRPr="00623CE8">
        <w:rPr>
          <w:rFonts w:cstheme="minorHAnsi"/>
        </w:rPr>
        <w:t xml:space="preserve">Denizde can emniyeti ile deniz çevresinin korunmasının sağlanmasına yönelik (mal kurtarma veya yardım hizmetleri hariç) resmi makamların talebi üzerine verilebilecek hizmetler iş bu tarife kapsamı dışındadır. </w:t>
      </w:r>
    </w:p>
    <w:p w14:paraId="77C1EDDC" w14:textId="4B0BB92B" w:rsidR="00EE0C6F" w:rsidRPr="00623CE8" w:rsidRDefault="00EE0C6F" w:rsidP="00EE0C6F">
      <w:pPr>
        <w:pStyle w:val="ListeParagraf"/>
        <w:numPr>
          <w:ilvl w:val="1"/>
          <w:numId w:val="3"/>
        </w:numPr>
        <w:tabs>
          <w:tab w:val="left" w:pos="567"/>
        </w:tabs>
        <w:ind w:left="284"/>
        <w:jc w:val="both"/>
        <w:rPr>
          <w:rFonts w:cstheme="minorHAnsi"/>
        </w:rPr>
      </w:pPr>
      <w:r w:rsidRPr="00623CE8">
        <w:rPr>
          <w:rFonts w:cstheme="minorHAnsi"/>
        </w:rPr>
        <w:t xml:space="preserve">“Eti Bakır A.Ş. Samsun Limanı Hizmet Kalemleri ve </w:t>
      </w:r>
      <w:proofErr w:type="spellStart"/>
      <w:r w:rsidRPr="00623CE8">
        <w:rPr>
          <w:rFonts w:cstheme="minorHAnsi"/>
        </w:rPr>
        <w:t>Tarife</w:t>
      </w:r>
      <w:r w:rsidR="00C36391" w:rsidRPr="00623CE8">
        <w:rPr>
          <w:rFonts w:cstheme="minorHAnsi"/>
        </w:rPr>
        <w:t>s</w:t>
      </w:r>
      <w:r w:rsidRPr="00623CE8">
        <w:rPr>
          <w:rFonts w:cstheme="minorHAnsi"/>
        </w:rPr>
        <w:t>i”nde</w:t>
      </w:r>
      <w:proofErr w:type="spellEnd"/>
      <w:r w:rsidRPr="00623CE8">
        <w:rPr>
          <w:rFonts w:cstheme="minorHAnsi"/>
        </w:rPr>
        <w:t xml:space="preserve"> </w:t>
      </w:r>
      <w:r w:rsidRPr="00623CE8">
        <w:rPr>
          <w:rStyle w:val="A5"/>
          <w:rFonts w:cstheme="minorHAnsi"/>
        </w:rPr>
        <w:t>yer almayan bir hizmetin talep edilmesi ve Eti Bakır tarafından bu talebin yerine getirilmesi halinde, bu hizmetin ücreti, şayet bu tarifede yer alan benzer bir hizmet var ise buna kıyasen; yoksa günün ekonomik şartları dikkate alınarak tespit edilir.</w:t>
      </w:r>
    </w:p>
    <w:p w14:paraId="17DDD338" w14:textId="77777777" w:rsidR="005A6E74" w:rsidRPr="00623CE8" w:rsidRDefault="005A6E74" w:rsidP="00381E9A">
      <w:pPr>
        <w:jc w:val="both"/>
        <w:rPr>
          <w:rFonts w:cstheme="minorHAnsi"/>
        </w:rPr>
      </w:pPr>
    </w:p>
    <w:sectPr w:rsidR="005A6E74" w:rsidRPr="00623CE8" w:rsidSect="000B65AE">
      <w:footerReference w:type="default" r:id="rId12"/>
      <w:pgSz w:w="11906" w:h="16838"/>
      <w:pgMar w:top="1418" w:right="1418" w:bottom="1418" w:left="1134" w:header="709" w:footer="709"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FD975" w14:textId="77777777" w:rsidR="00E82018" w:rsidRDefault="00E82018" w:rsidP="006F194C">
      <w:pPr>
        <w:spacing w:after="0" w:line="240" w:lineRule="auto"/>
      </w:pPr>
      <w:r>
        <w:separator/>
      </w:r>
    </w:p>
  </w:endnote>
  <w:endnote w:type="continuationSeparator" w:id="0">
    <w:p w14:paraId="04B39B0E" w14:textId="77777777" w:rsidR="00E82018" w:rsidRDefault="00E82018" w:rsidP="006F1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EurostileNextW02">
    <w:altName w:val="EurostileNextW02"/>
    <w:panose1 w:val="00000000000000000000"/>
    <w:charset w:val="A2"/>
    <w:family w:val="swiss"/>
    <w:notTrueType/>
    <w:pitch w:val="default"/>
    <w:sig w:usb0="00000005" w:usb1="00000000" w:usb2="00000000" w:usb3="00000000" w:csb0="00000010"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B6E98" w14:textId="6C1A4F21" w:rsidR="0070552C" w:rsidRDefault="0070552C">
    <w:pPr>
      <w:pStyle w:val="AltBilgi"/>
      <w:jc w:val="right"/>
    </w:pPr>
  </w:p>
  <w:p w14:paraId="6B14CB06" w14:textId="77777777" w:rsidR="006F194C" w:rsidRDefault="006F194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0214103"/>
      <w:docPartObj>
        <w:docPartGallery w:val="Page Numbers (Bottom of Page)"/>
        <w:docPartUnique/>
      </w:docPartObj>
    </w:sdtPr>
    <w:sdtEndPr/>
    <w:sdtContent>
      <w:p w14:paraId="3DE0291A" w14:textId="77777777" w:rsidR="000B65AE" w:rsidRDefault="000B65AE">
        <w:pPr>
          <w:pStyle w:val="AltBilgi"/>
          <w:jc w:val="right"/>
        </w:pPr>
        <w:r w:rsidRPr="000B65AE">
          <w:rPr>
            <w:rFonts w:ascii="Times New Roman" w:hAnsi="Times New Roman" w:cs="Times New Roman"/>
            <w:sz w:val="24"/>
            <w:szCs w:val="24"/>
          </w:rPr>
          <w:fldChar w:fldCharType="begin"/>
        </w:r>
        <w:r w:rsidRPr="000B65AE">
          <w:rPr>
            <w:rFonts w:ascii="Times New Roman" w:hAnsi="Times New Roman" w:cs="Times New Roman"/>
            <w:sz w:val="24"/>
            <w:szCs w:val="24"/>
          </w:rPr>
          <w:instrText>PAGE   \* MERGEFORMAT</w:instrText>
        </w:r>
        <w:r w:rsidRPr="000B65AE">
          <w:rPr>
            <w:rFonts w:ascii="Times New Roman" w:hAnsi="Times New Roman" w:cs="Times New Roman"/>
            <w:sz w:val="24"/>
            <w:szCs w:val="24"/>
          </w:rPr>
          <w:fldChar w:fldCharType="separate"/>
        </w:r>
        <w:r w:rsidRPr="000B65AE">
          <w:rPr>
            <w:rFonts w:ascii="Times New Roman" w:hAnsi="Times New Roman" w:cs="Times New Roman"/>
            <w:sz w:val="24"/>
            <w:szCs w:val="24"/>
          </w:rPr>
          <w:t>2</w:t>
        </w:r>
        <w:r w:rsidRPr="000B65AE">
          <w:rPr>
            <w:rFonts w:ascii="Times New Roman" w:hAnsi="Times New Roman" w:cs="Times New Roman"/>
            <w:sz w:val="24"/>
            <w:szCs w:val="24"/>
          </w:rPr>
          <w:fldChar w:fldCharType="end"/>
        </w:r>
      </w:p>
    </w:sdtContent>
  </w:sdt>
  <w:p w14:paraId="5B9596A5" w14:textId="77777777" w:rsidR="000B65AE" w:rsidRDefault="000B65A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4769D" w14:textId="77777777" w:rsidR="00E82018" w:rsidRDefault="00E82018" w:rsidP="006F194C">
      <w:pPr>
        <w:spacing w:after="0" w:line="240" w:lineRule="auto"/>
      </w:pPr>
      <w:r>
        <w:separator/>
      </w:r>
    </w:p>
  </w:footnote>
  <w:footnote w:type="continuationSeparator" w:id="0">
    <w:p w14:paraId="14544465" w14:textId="77777777" w:rsidR="00E82018" w:rsidRDefault="00E82018" w:rsidP="006F19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8EA87" w14:textId="74ED1C2E" w:rsidR="00C13DD4" w:rsidRPr="00C13DD4" w:rsidRDefault="00C13DD4">
    <w:pPr>
      <w:pStyle w:val="stBilgi"/>
      <w:jc w:val="right"/>
      <w:rPr>
        <w:rFonts w:ascii="Times New Roman" w:hAnsi="Times New Roman" w:cs="Times New Roman"/>
        <w:sz w:val="24"/>
        <w:szCs w:val="24"/>
      </w:rPr>
    </w:pPr>
  </w:p>
  <w:p w14:paraId="17918E58" w14:textId="77777777" w:rsidR="00C13DD4" w:rsidRDefault="00C13DD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C6F81"/>
    <w:multiLevelType w:val="hybridMultilevel"/>
    <w:tmpl w:val="1FB6CB86"/>
    <w:lvl w:ilvl="0" w:tplc="68A87A9A">
      <w:start w:val="1"/>
      <w:numFmt w:val="lowerLetter"/>
      <w:lvlText w:val="%1)"/>
      <w:lvlJc w:val="left"/>
      <w:pPr>
        <w:ind w:left="720" w:hanging="360"/>
      </w:pPr>
      <w:rPr>
        <w:rFonts w:ascii="Times New Roman" w:eastAsiaTheme="minorHAnsi"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3444A8D"/>
    <w:multiLevelType w:val="hybridMultilevel"/>
    <w:tmpl w:val="66BA8B4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62550AC"/>
    <w:multiLevelType w:val="hybridMultilevel"/>
    <w:tmpl w:val="2C28673A"/>
    <w:lvl w:ilvl="0" w:tplc="A4862BE2">
      <w:start w:val="1"/>
      <w:numFmt w:val="lowerLetter"/>
      <w:lvlText w:val="%1)"/>
      <w:lvlJc w:val="left"/>
      <w:pPr>
        <w:ind w:left="225" w:hanging="197"/>
      </w:pPr>
      <w:rPr>
        <w:rFonts w:ascii="Cambria" w:eastAsia="Cambria" w:hAnsi="Cambria" w:cs="Cambria" w:hint="default"/>
        <w:spacing w:val="-1"/>
        <w:w w:val="99"/>
        <w:sz w:val="18"/>
        <w:szCs w:val="18"/>
      </w:rPr>
    </w:lvl>
    <w:lvl w:ilvl="1" w:tplc="C9322DE6">
      <w:numFmt w:val="bullet"/>
      <w:lvlText w:val="•"/>
      <w:lvlJc w:val="left"/>
      <w:pPr>
        <w:ind w:left="1100" w:hanging="197"/>
      </w:pPr>
      <w:rPr>
        <w:rFonts w:hint="default"/>
      </w:rPr>
    </w:lvl>
    <w:lvl w:ilvl="2" w:tplc="150602C0">
      <w:numFmt w:val="bullet"/>
      <w:lvlText w:val="•"/>
      <w:lvlJc w:val="left"/>
      <w:pPr>
        <w:ind w:left="1981" w:hanging="197"/>
      </w:pPr>
      <w:rPr>
        <w:rFonts w:hint="default"/>
      </w:rPr>
    </w:lvl>
    <w:lvl w:ilvl="3" w:tplc="E18C7A4E">
      <w:numFmt w:val="bullet"/>
      <w:lvlText w:val="•"/>
      <w:lvlJc w:val="left"/>
      <w:pPr>
        <w:ind w:left="2861" w:hanging="197"/>
      </w:pPr>
      <w:rPr>
        <w:rFonts w:hint="default"/>
      </w:rPr>
    </w:lvl>
    <w:lvl w:ilvl="4" w:tplc="9F26FCD0">
      <w:numFmt w:val="bullet"/>
      <w:lvlText w:val="•"/>
      <w:lvlJc w:val="left"/>
      <w:pPr>
        <w:ind w:left="3742" w:hanging="197"/>
      </w:pPr>
      <w:rPr>
        <w:rFonts w:hint="default"/>
      </w:rPr>
    </w:lvl>
    <w:lvl w:ilvl="5" w:tplc="7C569412">
      <w:numFmt w:val="bullet"/>
      <w:lvlText w:val="•"/>
      <w:lvlJc w:val="left"/>
      <w:pPr>
        <w:ind w:left="4623" w:hanging="197"/>
      </w:pPr>
      <w:rPr>
        <w:rFonts w:hint="default"/>
      </w:rPr>
    </w:lvl>
    <w:lvl w:ilvl="6" w:tplc="1F649BC6">
      <w:numFmt w:val="bullet"/>
      <w:lvlText w:val="•"/>
      <w:lvlJc w:val="left"/>
      <w:pPr>
        <w:ind w:left="5503" w:hanging="197"/>
      </w:pPr>
      <w:rPr>
        <w:rFonts w:hint="default"/>
      </w:rPr>
    </w:lvl>
    <w:lvl w:ilvl="7" w:tplc="7A60137A">
      <w:numFmt w:val="bullet"/>
      <w:lvlText w:val="•"/>
      <w:lvlJc w:val="left"/>
      <w:pPr>
        <w:ind w:left="6384" w:hanging="197"/>
      </w:pPr>
      <w:rPr>
        <w:rFonts w:hint="default"/>
      </w:rPr>
    </w:lvl>
    <w:lvl w:ilvl="8" w:tplc="869ECF5A">
      <w:numFmt w:val="bullet"/>
      <w:lvlText w:val="•"/>
      <w:lvlJc w:val="left"/>
      <w:pPr>
        <w:ind w:left="7264" w:hanging="197"/>
      </w:pPr>
      <w:rPr>
        <w:rFonts w:hint="default"/>
      </w:rPr>
    </w:lvl>
  </w:abstractNum>
  <w:abstractNum w:abstractNumId="3" w15:restartNumberingAfterBreak="0">
    <w:nsid w:val="180C3C82"/>
    <w:multiLevelType w:val="hybridMultilevel"/>
    <w:tmpl w:val="1786C9BC"/>
    <w:lvl w:ilvl="0" w:tplc="9C2CE704">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AC228C4"/>
    <w:multiLevelType w:val="multilevel"/>
    <w:tmpl w:val="C8A6FB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 w15:restartNumberingAfterBreak="0">
    <w:nsid w:val="1EB135EF"/>
    <w:multiLevelType w:val="hybridMultilevel"/>
    <w:tmpl w:val="3CCCD1A0"/>
    <w:lvl w:ilvl="0" w:tplc="3B80189A">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5526303"/>
    <w:multiLevelType w:val="multilevel"/>
    <w:tmpl w:val="332A23DC"/>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58464B8E"/>
    <w:multiLevelType w:val="multilevel"/>
    <w:tmpl w:val="C8A6FB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 w15:restartNumberingAfterBreak="0">
    <w:nsid w:val="64CD5393"/>
    <w:multiLevelType w:val="hybridMultilevel"/>
    <w:tmpl w:val="471687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76F1D26"/>
    <w:multiLevelType w:val="hybridMultilevel"/>
    <w:tmpl w:val="FC92F1B6"/>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3"/>
  </w:num>
  <w:num w:numId="6">
    <w:abstractNumId w:val="8"/>
  </w:num>
  <w:num w:numId="7">
    <w:abstractNumId w:val="6"/>
  </w:num>
  <w:num w:numId="8">
    <w:abstractNumId w:val="1"/>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885"/>
    <w:rsid w:val="000046E3"/>
    <w:rsid w:val="000160FB"/>
    <w:rsid w:val="00047D32"/>
    <w:rsid w:val="000631F6"/>
    <w:rsid w:val="00083513"/>
    <w:rsid w:val="000B65AE"/>
    <w:rsid w:val="000D2768"/>
    <w:rsid w:val="000D54BC"/>
    <w:rsid w:val="000D6A37"/>
    <w:rsid w:val="000F6380"/>
    <w:rsid w:val="00100424"/>
    <w:rsid w:val="001009F9"/>
    <w:rsid w:val="0012691A"/>
    <w:rsid w:val="001346AC"/>
    <w:rsid w:val="00144715"/>
    <w:rsid w:val="001614A8"/>
    <w:rsid w:val="00183EFD"/>
    <w:rsid w:val="001B2981"/>
    <w:rsid w:val="001B42B4"/>
    <w:rsid w:val="001C63B9"/>
    <w:rsid w:val="001D3AAF"/>
    <w:rsid w:val="001D3B50"/>
    <w:rsid w:val="00201D5C"/>
    <w:rsid w:val="00207125"/>
    <w:rsid w:val="00250DFA"/>
    <w:rsid w:val="00254224"/>
    <w:rsid w:val="00254A37"/>
    <w:rsid w:val="00274885"/>
    <w:rsid w:val="00282FCA"/>
    <w:rsid w:val="0029018F"/>
    <w:rsid w:val="0029137F"/>
    <w:rsid w:val="0029350B"/>
    <w:rsid w:val="002A73E5"/>
    <w:rsid w:val="002D5948"/>
    <w:rsid w:val="003424A1"/>
    <w:rsid w:val="00353D14"/>
    <w:rsid w:val="00355FBA"/>
    <w:rsid w:val="00374555"/>
    <w:rsid w:val="00381E9A"/>
    <w:rsid w:val="003C66AF"/>
    <w:rsid w:val="003D0E83"/>
    <w:rsid w:val="003D3261"/>
    <w:rsid w:val="00417110"/>
    <w:rsid w:val="00431289"/>
    <w:rsid w:val="0044183B"/>
    <w:rsid w:val="00444209"/>
    <w:rsid w:val="0047731E"/>
    <w:rsid w:val="00481B44"/>
    <w:rsid w:val="0048371C"/>
    <w:rsid w:val="0049082E"/>
    <w:rsid w:val="004B1CE0"/>
    <w:rsid w:val="004B66A8"/>
    <w:rsid w:val="004C41FE"/>
    <w:rsid w:val="004D0FB8"/>
    <w:rsid w:val="004D487E"/>
    <w:rsid w:val="004E0A3A"/>
    <w:rsid w:val="00517E69"/>
    <w:rsid w:val="005A1DAC"/>
    <w:rsid w:val="005A6E74"/>
    <w:rsid w:val="005B1B25"/>
    <w:rsid w:val="005B2CE2"/>
    <w:rsid w:val="005B6182"/>
    <w:rsid w:val="005C48E3"/>
    <w:rsid w:val="005E369C"/>
    <w:rsid w:val="005E4977"/>
    <w:rsid w:val="005F79FA"/>
    <w:rsid w:val="00606289"/>
    <w:rsid w:val="00623CE8"/>
    <w:rsid w:val="00642C19"/>
    <w:rsid w:val="006551E4"/>
    <w:rsid w:val="00664403"/>
    <w:rsid w:val="006877C7"/>
    <w:rsid w:val="006942BD"/>
    <w:rsid w:val="006B4816"/>
    <w:rsid w:val="006D2C77"/>
    <w:rsid w:val="006D7C42"/>
    <w:rsid w:val="006F194C"/>
    <w:rsid w:val="006F7F38"/>
    <w:rsid w:val="0070552C"/>
    <w:rsid w:val="00706CEC"/>
    <w:rsid w:val="00711DB3"/>
    <w:rsid w:val="00714EFF"/>
    <w:rsid w:val="0071536B"/>
    <w:rsid w:val="007220A7"/>
    <w:rsid w:val="00722C30"/>
    <w:rsid w:val="0073545C"/>
    <w:rsid w:val="00744815"/>
    <w:rsid w:val="007501C3"/>
    <w:rsid w:val="00787948"/>
    <w:rsid w:val="007E4B0C"/>
    <w:rsid w:val="00822B50"/>
    <w:rsid w:val="00857C53"/>
    <w:rsid w:val="00875CAB"/>
    <w:rsid w:val="00875D05"/>
    <w:rsid w:val="0089467B"/>
    <w:rsid w:val="008E5B07"/>
    <w:rsid w:val="00907DB7"/>
    <w:rsid w:val="00916BAA"/>
    <w:rsid w:val="00921DA8"/>
    <w:rsid w:val="00935927"/>
    <w:rsid w:val="009A64ED"/>
    <w:rsid w:val="009B31D9"/>
    <w:rsid w:val="009C3E98"/>
    <w:rsid w:val="009E290D"/>
    <w:rsid w:val="009F7439"/>
    <w:rsid w:val="00A16953"/>
    <w:rsid w:val="00A22B4C"/>
    <w:rsid w:val="00A84F2C"/>
    <w:rsid w:val="00AA6A4A"/>
    <w:rsid w:val="00AC4F9D"/>
    <w:rsid w:val="00B32E11"/>
    <w:rsid w:val="00B34741"/>
    <w:rsid w:val="00B36467"/>
    <w:rsid w:val="00B4716E"/>
    <w:rsid w:val="00B5130E"/>
    <w:rsid w:val="00B56B76"/>
    <w:rsid w:val="00B72317"/>
    <w:rsid w:val="00B84963"/>
    <w:rsid w:val="00B872DB"/>
    <w:rsid w:val="00BA2816"/>
    <w:rsid w:val="00BA6FB8"/>
    <w:rsid w:val="00BA7052"/>
    <w:rsid w:val="00BC3CAB"/>
    <w:rsid w:val="00BE0286"/>
    <w:rsid w:val="00BE5C8F"/>
    <w:rsid w:val="00C13DD4"/>
    <w:rsid w:val="00C15F83"/>
    <w:rsid w:val="00C36391"/>
    <w:rsid w:val="00C3758F"/>
    <w:rsid w:val="00C40026"/>
    <w:rsid w:val="00C52E11"/>
    <w:rsid w:val="00CA15F3"/>
    <w:rsid w:val="00CD22DD"/>
    <w:rsid w:val="00CE1746"/>
    <w:rsid w:val="00CE6603"/>
    <w:rsid w:val="00D01E14"/>
    <w:rsid w:val="00D25FEF"/>
    <w:rsid w:val="00D4262A"/>
    <w:rsid w:val="00D44006"/>
    <w:rsid w:val="00D8598A"/>
    <w:rsid w:val="00D9075E"/>
    <w:rsid w:val="00DB69FE"/>
    <w:rsid w:val="00DE0004"/>
    <w:rsid w:val="00E12808"/>
    <w:rsid w:val="00E50A01"/>
    <w:rsid w:val="00E761B0"/>
    <w:rsid w:val="00E774C0"/>
    <w:rsid w:val="00E82018"/>
    <w:rsid w:val="00E836FB"/>
    <w:rsid w:val="00E845A1"/>
    <w:rsid w:val="00ED4679"/>
    <w:rsid w:val="00EE0C6F"/>
    <w:rsid w:val="00EE350D"/>
    <w:rsid w:val="00EE4E58"/>
    <w:rsid w:val="00F50C57"/>
    <w:rsid w:val="00F86794"/>
    <w:rsid w:val="00FA5D4F"/>
    <w:rsid w:val="00FB5B40"/>
    <w:rsid w:val="00FB76BB"/>
    <w:rsid w:val="00FC47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ED9DCC"/>
  <w15:chartTrackingRefBased/>
  <w15:docId w15:val="{3B10E677-018B-4549-AAE2-D97649876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0160FB"/>
    <w:pPr>
      <w:ind w:left="720"/>
      <w:contextualSpacing/>
    </w:pPr>
  </w:style>
  <w:style w:type="character" w:styleId="Kpr">
    <w:name w:val="Hyperlink"/>
    <w:basedOn w:val="VarsaylanParagrafYazTipi"/>
    <w:uiPriority w:val="99"/>
    <w:unhideWhenUsed/>
    <w:rsid w:val="000160FB"/>
    <w:rPr>
      <w:color w:val="0563C1" w:themeColor="hyperlink"/>
      <w:u w:val="single"/>
    </w:rPr>
  </w:style>
  <w:style w:type="character" w:customStyle="1" w:styleId="zmlenmeyenBahsetme1">
    <w:name w:val="Çözümlenmeyen Bahsetme1"/>
    <w:basedOn w:val="VarsaylanParagrafYazTipi"/>
    <w:uiPriority w:val="99"/>
    <w:semiHidden/>
    <w:unhideWhenUsed/>
    <w:rsid w:val="000160FB"/>
    <w:rPr>
      <w:color w:val="605E5C"/>
      <w:shd w:val="clear" w:color="auto" w:fill="E1DFDD"/>
    </w:rPr>
  </w:style>
  <w:style w:type="paragraph" w:styleId="GvdeMetni">
    <w:name w:val="Body Text"/>
    <w:basedOn w:val="Normal"/>
    <w:link w:val="GvdeMetniChar"/>
    <w:uiPriority w:val="1"/>
    <w:qFormat/>
    <w:rsid w:val="00207125"/>
    <w:pPr>
      <w:widowControl w:val="0"/>
      <w:autoSpaceDE w:val="0"/>
      <w:autoSpaceDN w:val="0"/>
      <w:spacing w:before="29" w:after="0" w:line="240" w:lineRule="auto"/>
      <w:ind w:left="104"/>
    </w:pPr>
    <w:rPr>
      <w:rFonts w:ascii="Cambria" w:eastAsia="Cambria" w:hAnsi="Cambria" w:cs="Cambria"/>
      <w:sz w:val="18"/>
      <w:szCs w:val="18"/>
      <w:lang w:val="en-US"/>
    </w:rPr>
  </w:style>
  <w:style w:type="character" w:customStyle="1" w:styleId="GvdeMetniChar">
    <w:name w:val="Gövde Metni Char"/>
    <w:basedOn w:val="VarsaylanParagrafYazTipi"/>
    <w:link w:val="GvdeMetni"/>
    <w:uiPriority w:val="1"/>
    <w:rsid w:val="00207125"/>
    <w:rPr>
      <w:rFonts w:ascii="Cambria" w:eastAsia="Cambria" w:hAnsi="Cambria" w:cs="Cambria"/>
      <w:sz w:val="18"/>
      <w:szCs w:val="18"/>
      <w:lang w:val="en-US"/>
    </w:rPr>
  </w:style>
  <w:style w:type="paragraph" w:styleId="NormalWeb">
    <w:name w:val="Normal (Web)"/>
    <w:basedOn w:val="Normal"/>
    <w:uiPriority w:val="99"/>
    <w:semiHidden/>
    <w:unhideWhenUsed/>
    <w:rsid w:val="0020712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rsid w:val="004D487E"/>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6F194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F194C"/>
  </w:style>
  <w:style w:type="paragraph" w:styleId="AltBilgi">
    <w:name w:val="footer"/>
    <w:basedOn w:val="Normal"/>
    <w:link w:val="AltBilgiChar"/>
    <w:uiPriority w:val="99"/>
    <w:unhideWhenUsed/>
    <w:rsid w:val="006F194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F194C"/>
  </w:style>
  <w:style w:type="table" w:styleId="TabloKlavuzu">
    <w:name w:val="Table Grid"/>
    <w:basedOn w:val="NormalTablo"/>
    <w:uiPriority w:val="39"/>
    <w:rsid w:val="007354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A5"/>
    <w:uiPriority w:val="99"/>
    <w:rsid w:val="00183EFD"/>
    <w:rPr>
      <w:rFonts w:cs="EurostileNextW02"/>
      <w:color w:val="221E1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867274">
      <w:bodyDiv w:val="1"/>
      <w:marLeft w:val="0"/>
      <w:marRight w:val="0"/>
      <w:marTop w:val="0"/>
      <w:marBottom w:val="0"/>
      <w:divBdr>
        <w:top w:val="none" w:sz="0" w:space="0" w:color="auto"/>
        <w:left w:val="none" w:sz="0" w:space="0" w:color="auto"/>
        <w:bottom w:val="none" w:sz="0" w:space="0" w:color="auto"/>
        <w:right w:val="none" w:sz="0" w:space="0" w:color="auto"/>
      </w:divBdr>
    </w:div>
    <w:div w:id="1317875853">
      <w:bodyDiv w:val="1"/>
      <w:marLeft w:val="0"/>
      <w:marRight w:val="0"/>
      <w:marTop w:val="0"/>
      <w:marBottom w:val="0"/>
      <w:divBdr>
        <w:top w:val="none" w:sz="0" w:space="0" w:color="auto"/>
        <w:left w:val="none" w:sz="0" w:space="0" w:color="auto"/>
        <w:bottom w:val="none" w:sz="0" w:space="0" w:color="auto"/>
        <w:right w:val="none" w:sz="0" w:space="0" w:color="auto"/>
      </w:divBdr>
    </w:div>
    <w:div w:id="198300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http://www.etibakir.com.tr"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5</Pages>
  <Words>987</Words>
  <Characters>5627</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Kazım YENİ</dc:creator>
  <cp:keywords/>
  <dc:description/>
  <cp:lastModifiedBy>Giray KARADENİZ</cp:lastModifiedBy>
  <cp:revision>15</cp:revision>
  <cp:lastPrinted>2022-11-05T09:43:00Z</cp:lastPrinted>
  <dcterms:created xsi:type="dcterms:W3CDTF">2025-01-31T07:43:00Z</dcterms:created>
  <dcterms:modified xsi:type="dcterms:W3CDTF">2025-01-31T14:26:00Z</dcterms:modified>
</cp:coreProperties>
</file>